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科蒂亚</w:t>
      </w:r>
      <w:r>
        <w:t xml:space="preserve"> </w:t>
      </w:r>
      <w:r>
        <w:t xml:space="preserve">bDNA</w:t>
      </w:r>
      <w:r>
        <w:t xml:space="preserve"> </w:t>
      </w:r>
      <w:r>
        <w:t xml:space="preserve">法</w:t>
      </w:r>
      <w:r>
        <w:t xml:space="preserve"> </w:t>
      </w:r>
      <w:r>
        <w:t xml:space="preserve">HPV</w:t>
      </w:r>
      <w:r>
        <w:t xml:space="preserve"> </w:t>
      </w:r>
      <w:r>
        <w:t xml:space="preserve">E6/E7</w:t>
      </w:r>
      <w:r>
        <w:t xml:space="preserve"> </w:t>
      </w:r>
      <w:r>
        <w:t xml:space="preserve">mRNA</w:t>
      </w:r>
      <w:r>
        <w:t xml:space="preserve"> </w:t>
      </w:r>
      <w:r>
        <w:t xml:space="preserve">检测试剂盒临床试验总结报告解读（v1.4）</w:t>
      </w:r>
    </w:p>
    <w:p>
      <w:pPr>
        <w:pStyle w:val="Compact"/>
      </w:pPr>
      <w:r>
        <w:t xml:space="preserve">打印 / 导出 PDF</w:t>
      </w:r>
    </w:p>
    <w:p>
      <w:pPr>
        <w:pStyle w:val="Compact"/>
      </w:pPr>
      <w:hyperlink r:id="rId21">
        <w:r>
          <w:rPr>
            <w:rStyle w:val="Hyperlink"/>
          </w:rPr>
          <w:t xml:space="preserve">下载 Word</w:t>
        </w:r>
      </w:hyperlink>
    </w:p>
    <w:p>
      <w:pPr>
        <w:pStyle w:val="Compact"/>
      </w:pPr>
      <w:r>
        <w:t xml:space="preserve">下载 HTML</w:t>
      </w:r>
    </w:p>
    <w:p>
      <w:pPr>
        <w:pStyle w:val="Compact"/>
      </w:pPr>
      <w:r>
        <w:t xml:space="preserve">v1.4 · 3 中心 11392 例多中心注册临床试验 · 筛查线金标准资产 · 已以文字版正本校对补全</w:t>
      </w:r>
    </w:p>
    <w:p>
      <w:pPr>
        <w:pStyle w:val="Compact"/>
      </w:pPr>
      <w:r>
        <w:t xml:space="preserve">Kodia bDNA HPV E6/E7 mRNA Assay — Pivotal Clinical Trial Summary Interpretation (3 centers, n=11,392)</w:t>
      </w:r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报告源</w:t>
            </w:r>
          </w:p>
        </w:tc>
        <w:tc>
          <w:p>
            <w:pPr>
              <w:pStyle w:val="Compact"/>
              <w:jc w:val="left"/>
            </w:pPr>
            <w:r>
              <w:t xml:space="preserve">高危型人乳头瘤病毒（HPV）E6/E7 mRNA 检测试剂盒（支链 DNA 信号扩增法）筛查临床试验总结报告 · 方案号</w:t>
            </w:r>
            <w:r>
              <w:t xml:space="preserve"> </w:t>
            </w:r>
            <w:r>
              <w:rPr>
                <w:rStyle w:val="VerbatimChar"/>
              </w:rPr>
              <w:t xml:space="preserve">MLD-C-19002</w:t>
            </w:r>
            <w:r>
              <w:t xml:space="preserve"> </w:t>
            </w:r>
            <w:r>
              <w:t xml:space="preserve">V06/2021-04-24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申办方</w:t>
            </w:r>
          </w:p>
        </w:tc>
        <w:tc>
          <w:p>
            <w:pPr>
              <w:pStyle w:val="Compact"/>
              <w:jc w:val="left"/>
            </w:pPr>
            <w:r>
              <w:t xml:space="preserve">郑州科蒂亚生物技术有限公司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组长单位</w:t>
            </w:r>
          </w:p>
        </w:tc>
        <w:tc>
          <w:p>
            <w:pPr>
              <w:pStyle w:val="Compact"/>
              <w:jc w:val="left"/>
            </w:pPr>
            <w:r>
              <w:t xml:space="preserve">浙江大学医学院附属妇产科医院（协调研究者：王新宇）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参研中心</w:t>
            </w:r>
          </w:p>
        </w:tc>
        <w:tc>
          <w:p>
            <w:pPr>
              <w:pStyle w:val="Compact"/>
              <w:jc w:val="left"/>
            </w:pPr>
            <w:r>
              <w:t xml:space="preserve">浙大妇产（01）+ 北京大学第一医院（02）+ 山东大学齐鲁医院（03）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试验周期</w:t>
            </w:r>
          </w:p>
        </w:tc>
        <w:tc>
          <w:p>
            <w:pPr>
              <w:pStyle w:val="Compact"/>
              <w:jc w:val="left"/>
            </w:pPr>
            <w:r>
              <w:t xml:space="preserve">2018-07 → 2025-12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入组规模</w:t>
            </w:r>
          </w:p>
        </w:tc>
        <w:tc>
          <w:p>
            <w:pPr>
              <w:pStyle w:val="Compact"/>
              <w:jc w:val="left"/>
            </w:pPr>
            <w:r>
              <w:t xml:space="preserve">11,392 例（11,450 筛选 − 58 筛除）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报告出具</w:t>
            </w:r>
          </w:p>
        </w:tc>
        <w:tc>
          <w:p>
            <w:pPr>
              <w:pStyle w:val="Compact"/>
              <w:jc w:val="left"/>
            </w:pPr>
            <w:r>
              <w:t xml:space="preserve">2026-01-20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解读版本</w:t>
            </w:r>
          </w:p>
        </w:tc>
        <w:tc>
          <w:p>
            <w:pPr>
              <w:pStyle w:val="Compact"/>
              <w:jc w:val="left"/>
            </w:pPr>
            <w:r>
              <w:t xml:space="preserve">v1.4 · 2026-07-10（文字版正本校对补全）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读者范围</w:t>
            </w:r>
          </w:p>
        </w:tc>
        <w:tc>
          <w:p>
            <w:pPr>
              <w:pStyle w:val="Compact"/>
              <w:jc w:val="left"/>
            </w:pPr>
            <w:r>
              <w:t xml:space="preserve">内部 / 合作方参考</w:t>
            </w:r>
          </w:p>
        </w:tc>
      </w:tr>
    </w:tbl>
    <w:p>
      <w:pPr>
        <w:pStyle w:val="Compact"/>
      </w:pPr>
      <w:r>
        <w:rPr>
          <w:b/>
        </w:rPr>
        <w:t xml:space="preserve">数据来源声明</w:t>
      </w:r>
      <w:r>
        <w:t xml:space="preserve"> </w:t>
      </w:r>
      <w:r>
        <w:t xml:space="preserve">本文档系对临床试验总结报告正本的解读归纳。所有用于注册申报、监管沟通、对外披露的数据，</w:t>
      </w:r>
      <w:r>
        <w:rPr>
          <w:b/>
        </w:rPr>
        <w:t xml:space="preserve">必须以纸质/电子签章的注册申报正本为准</w:t>
      </w:r>
      <w:r>
        <w:t xml:space="preserve">。</w:t>
      </w:r>
    </w:p>
    <w:p>
      <w:pPr>
        <w:pStyle w:val="Heading2"/>
      </w:pPr>
      <w:bookmarkStart w:id="22" w:name="一最关键-场景边界数据池隔离铁律"/>
      <w:r>
        <w:t xml:space="preserve">一、最关键 — 场景边界（数据池隔离铁律）</w:t>
      </w:r>
      <w:bookmarkEnd w:id="22"/>
    </w:p>
    <w:p>
      <w:pPr>
        <w:pStyle w:val="FirstParagraph"/>
      </w:pPr>
      <w:r>
        <w:t xml:space="preserve">本报告验证的临床用途</w:t>
      </w:r>
      <w:r>
        <w:rPr>
          <w:b/>
        </w:rPr>
        <w:t xml:space="preserve">仅限以下两个筛查场景</w:t>
      </w:r>
      <w:r>
        <w:t xml:space="preserve">：</w:t>
      </w:r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21–65 岁女性宫颈癌初筛</w:t>
            </w:r>
          </w:p>
        </w:tc>
        <w:tc>
          <w:p>
            <w:pPr>
              <w:pStyle w:val="Compact"/>
              <w:jc w:val="left"/>
            </w:pPr>
            <w:r>
              <w:t xml:space="preserve">N = 9,335（含 30 岁以下 307 例）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30–65 岁女性宫颈癌联合筛查</w:t>
            </w:r>
          </w:p>
        </w:tc>
        <w:tc>
          <w:p>
            <w:pPr>
              <w:pStyle w:val="Compact"/>
              <w:jc w:val="left"/>
            </w:pPr>
            <w:r>
              <w:t xml:space="preserve">N = 8,669（与细胞学联合）</w:t>
            </w:r>
          </w:p>
        </w:tc>
      </w:tr>
    </w:tbl>
    <w:p>
      <w:pPr>
        <w:pStyle w:val="Compact"/>
      </w:pPr>
      <w:r>
        <w:rPr>
          <w:b/>
        </w:rPr>
        <w:t xml:space="preserve">禁跨场景使用</w:t>
      </w:r>
      <w:r>
        <w:t xml:space="preserve"> </w:t>
      </w:r>
      <w:r>
        <w:t xml:space="preserve">本数据集</w:t>
      </w:r>
      <w:r>
        <w:rPr>
          <w:b/>
        </w:rPr>
        <w:t xml:space="preserve">不含 ASCUS 分流验证、不含 CIN1/2 锥切术后随访验证</w:t>
      </w:r>
      <w:r>
        <w:t xml:space="preserve">。这 11,392 例构成「筛查线」独立金标准资产。按"分产品线分数据池"原则，</w:t>
      </w:r>
      <w:r>
        <w:rPr>
          <w:b/>
        </w:rPr>
        <w:t xml:space="preserve">禁止</w:t>
      </w:r>
      <w:r>
        <w:t xml:space="preserve">用本数据训练、校准或验证 ASCUS 分流规则、术后复发预测模型、DNA-RNA 载量差决策路径。对外宣传话术同样</w:t>
      </w:r>
      <w:r>
        <w:rPr>
          <w:b/>
        </w:rPr>
        <w:t xml:space="preserve">禁泛化</w:t>
      </w:r>
      <w:r>
        <w:t xml:space="preserve">到上述未验证场景。</w:t>
      </w:r>
    </w:p>
    <w:p>
      <w:pPr>
        <w:pStyle w:val="Heading2"/>
      </w:pPr>
      <w:bookmarkStart w:id="23" w:name="二核心诊断性能金标准-阴道镜-组织病理学"/>
      <w:r>
        <w:t xml:space="preserve">二、核心诊断性能（金标准 = 阴道镜 / 组织病理学）</w:t>
      </w:r>
      <w:bookmarkEnd w:id="23"/>
    </w:p>
    <w:p>
      <w:pPr>
        <w:pStyle w:val="Compact"/>
      </w:pPr>
      <w:r>
        <w:t xml:space="preserve">场景</w:t>
      </w:r>
    </w:p>
    <w:p>
      <w:pPr>
        <w:pStyle w:val="BodyText"/>
      </w:pPr>
      <w:r>
        <w:t xml:space="preserve">金标准</w:t>
      </w:r>
    </w:p>
    <w:p>
      <w:pPr>
        <w:pStyle w:val="BodyText"/>
      </w:pPr>
      <w:r>
        <w:t xml:space="preserve">样本量</w:t>
      </w:r>
    </w:p>
    <w:p>
      <w:pPr>
        <w:pStyle w:val="BodyText"/>
      </w:pPr>
      <w:r>
        <w:t xml:space="preserve">敏感度</w:t>
      </w:r>
      <w:r>
        <w:br w:type="textWrapping"/>
      </w:r>
      <w:r>
        <w:t xml:space="preserve">（95% CI）</w:t>
      </w:r>
    </w:p>
    <w:p>
      <w:pPr>
        <w:pStyle w:val="BodyText"/>
      </w:pPr>
      <w:r>
        <w:t xml:space="preserve">特异度</w:t>
      </w:r>
      <w:r>
        <w:br w:type="textWrapping"/>
      </w:r>
      <w:r>
        <w:t xml:space="preserve">（95% CI）</w:t>
      </w:r>
    </w:p>
    <w:p>
      <w:pPr>
        <w:pStyle w:val="BodyText"/>
      </w:pPr>
      <w:r>
        <w:t xml:space="preserve">PPV</w:t>
      </w:r>
    </w:p>
    <w:p>
      <w:pPr>
        <w:pStyle w:val="BodyText"/>
      </w:pPr>
      <w:r>
        <w:t xml:space="preserve">NPV</w:t>
      </w:r>
    </w:p>
    <w:p>
      <w:pPr>
        <w:pStyle w:val="BodyText"/>
      </w:pPr>
      <w:r>
        <w:t xml:space="preserve">初筛</w:t>
      </w:r>
      <w:r>
        <w:br w:type="textWrapping"/>
      </w:r>
      <w:r>
        <w:t xml:space="preserve">21–65 岁</w:t>
      </w:r>
    </w:p>
    <w:p>
      <w:pPr>
        <w:pStyle w:val="BodyText"/>
      </w:pPr>
      <w:r>
        <w:t xml:space="preserve">≥CIN2</w:t>
      </w:r>
    </w:p>
    <w:p>
      <w:pPr>
        <w:pStyle w:val="BodyText"/>
      </w:pPr>
      <w:r>
        <w:t xml:space="preserve">9,335</w:t>
      </w:r>
      <w:r>
        <w:br w:type="textWrapping"/>
      </w:r>
      <w:r>
        <w:t xml:space="preserve">（病例 98）</w:t>
      </w:r>
    </w:p>
    <w:p>
      <w:pPr>
        <w:pStyle w:val="BodyText"/>
      </w:pPr>
      <w:r>
        <w:t xml:space="preserve">95.92%</w:t>
      </w:r>
      <w:r>
        <w:br w:type="textWrapping"/>
      </w:r>
      <w:r>
        <w:t xml:space="preserve">(89.88–98.88)</w:t>
      </w:r>
    </w:p>
    <w:p>
      <w:pPr>
        <w:pStyle w:val="BodyText"/>
      </w:pPr>
      <w:r>
        <w:t xml:space="preserve">85.68%</w:t>
      </w:r>
      <w:r>
        <w:br w:type="textWrapping"/>
      </w:r>
      <w:r>
        <w:t xml:space="preserve">(84.95–86.39)</w:t>
      </w:r>
    </w:p>
    <w:p>
      <w:pPr>
        <w:pStyle w:val="BodyText"/>
      </w:pPr>
      <w:r>
        <w:t xml:space="preserve">6.63%</w:t>
      </w:r>
    </w:p>
    <w:p>
      <w:pPr>
        <w:pStyle w:val="BodyText"/>
      </w:pPr>
      <w:r>
        <w:t xml:space="preserve">99.95%</w:t>
      </w:r>
    </w:p>
    <w:p>
      <w:pPr>
        <w:pStyle w:val="BodyText"/>
      </w:pPr>
      <w:r>
        <w:t xml:space="preserve">≥CIN3</w:t>
      </w:r>
    </w:p>
    <w:p>
      <w:pPr>
        <w:pStyle w:val="BodyText"/>
      </w:pPr>
      <w:r>
        <w:t xml:space="preserve">9,335</w:t>
      </w:r>
      <w:r>
        <w:br w:type="textWrapping"/>
      </w:r>
      <w:r>
        <w:t xml:space="preserve">（病例 42）</w:t>
      </w:r>
    </w:p>
    <w:p>
      <w:pPr>
        <w:pStyle w:val="BodyText"/>
      </w:pPr>
      <w:r>
        <w:t xml:space="preserve">97.62%</w:t>
      </w:r>
      <w:r>
        <w:br w:type="textWrapping"/>
      </w:r>
      <w:r>
        <w:t xml:space="preserve">(87.43–99.94)</w:t>
      </w:r>
    </w:p>
    <w:p>
      <w:pPr>
        <w:pStyle w:val="BodyText"/>
      </w:pPr>
      <w:r>
        <w:t xml:space="preserve">85.19%</w:t>
      </w:r>
      <w:r>
        <w:br w:type="textWrapping"/>
      </w:r>
      <w:r>
        <w:t xml:space="preserve">(84.45–85.91)</w:t>
      </w:r>
    </w:p>
    <w:p>
      <w:pPr>
        <w:pStyle w:val="BodyText"/>
      </w:pPr>
      <w:r>
        <w:t xml:space="preserve">2.89%</w:t>
      </w:r>
    </w:p>
    <w:p>
      <w:pPr>
        <w:pStyle w:val="BodyText"/>
      </w:pPr>
      <w:r>
        <w:t xml:space="preserve">99.99%</w:t>
      </w:r>
    </w:p>
    <w:p>
      <w:pPr>
        <w:pStyle w:val="BodyText"/>
      </w:pPr>
      <w:r>
        <w:t xml:space="preserve">联合筛查</w:t>
      </w:r>
      <w:r>
        <w:br w:type="textWrapping"/>
      </w:r>
      <w:r>
        <w:t xml:space="preserve">30–65 岁</w:t>
      </w:r>
    </w:p>
    <w:p>
      <w:pPr>
        <w:pStyle w:val="BodyText"/>
      </w:pPr>
      <w:r>
        <w:t xml:space="preserve">≥CIN2</w:t>
      </w:r>
    </w:p>
    <w:p>
      <w:pPr>
        <w:pStyle w:val="BodyText"/>
      </w:pPr>
      <w:r>
        <w:t xml:space="preserve">8,669</w:t>
      </w:r>
      <w:r>
        <w:br w:type="textWrapping"/>
      </w:r>
      <w:r>
        <w:t xml:space="preserve">（病例 39）</w:t>
      </w:r>
    </w:p>
    <w:p>
      <w:pPr>
        <w:pStyle w:val="BodyText"/>
      </w:pPr>
      <w:r>
        <w:t xml:space="preserve">92.31%</w:t>
      </w:r>
      <w:r>
        <w:br w:type="textWrapping"/>
      </w:r>
      <w:r>
        <w:t xml:space="preserve">(79.13–99.38)</w:t>
      </w:r>
    </w:p>
    <w:p>
      <w:pPr>
        <w:pStyle w:val="BodyText"/>
      </w:pPr>
      <w:r>
        <w:t xml:space="preserve">86.08%</w:t>
      </w:r>
      <w:r>
        <w:br w:type="textWrapping"/>
      </w:r>
      <w:r>
        <w:t xml:space="preserve">(85.34–86.81)</w:t>
      </w:r>
    </w:p>
    <w:p>
      <w:pPr>
        <w:pStyle w:val="BodyText"/>
      </w:pPr>
      <w:r>
        <w:t xml:space="preserve">2.91%</w:t>
      </w:r>
    </w:p>
    <w:p>
      <w:pPr>
        <w:pStyle w:val="BodyText"/>
      </w:pPr>
      <w:r>
        <w:t xml:space="preserve">99.96%</w:t>
      </w:r>
    </w:p>
    <w:p>
      <w:pPr>
        <w:pStyle w:val="BodyText"/>
      </w:pPr>
      <w:r>
        <w:t xml:space="preserve">≥CIN3</w:t>
      </w:r>
    </w:p>
    <w:p>
      <w:pPr>
        <w:pStyle w:val="BodyText"/>
      </w:pPr>
      <w:r>
        <w:t xml:space="preserve">8,669</w:t>
      </w:r>
    </w:p>
    <w:p>
      <w:pPr>
        <w:pStyle w:val="BodyText"/>
      </w:pPr>
      <w:r>
        <w:t xml:space="preserve">100.00%</w:t>
      </w:r>
      <w:r>
        <w:br w:type="textWrapping"/>
      </w:r>
      <w:r>
        <w:t xml:space="preserve">(71.51–100)</w:t>
      </w:r>
    </w:p>
    <w:p>
      <w:pPr>
        <w:pStyle w:val="BodyText"/>
      </w:pPr>
      <w:r>
        <w:t xml:space="preserve">85.84%</w:t>
      </w:r>
      <w:r>
        <w:br w:type="textWrapping"/>
      </w:r>
      <w:r>
        <w:t xml:space="preserve">(85.09–86.57)</w:t>
      </w:r>
    </w:p>
    <w:p>
      <w:pPr>
        <w:pStyle w:val="BodyText"/>
      </w:pPr>
      <w:r>
        <w:t xml:space="preserve">0.89%</w:t>
      </w:r>
    </w:p>
    <w:p>
      <w:pPr>
        <w:pStyle w:val="BodyText"/>
      </w:pPr>
      <w:r>
        <w:t xml:space="preserve">100.00%</w:t>
      </w:r>
    </w:p>
    <w:p>
      <w:pPr>
        <w:pStyle w:val="Compact"/>
      </w:pPr>
      <w:r>
        <w:rPr>
          <w:b/>
        </w:rPr>
        <w:t xml:space="preserve">关键读法</w:t>
      </w:r>
      <w:r>
        <w:t xml:space="preserve"> </w:t>
      </w:r>
      <w:r>
        <w:t xml:space="preserve">联合筛查 ≥CIN2 敏感度 92.31% 反而低于初筛 95.92% — 这</w:t>
      </w:r>
      <w:r>
        <w:rPr>
          <w:b/>
        </w:rPr>
        <w:t xml:space="preserve">并非性能退化</w:t>
      </w:r>
      <w:r>
        <w:t xml:space="preserve">，而是因为联合筛查限定 30 岁以上亚组、病例数仅 39 例，95% CI 宽达 79.13–99.38。两场景的 NPV 均 ≥99.95%，符合筛查类试剂"高 NPV、守假阴底线"的设计目标。</w:t>
      </w:r>
    </w:p>
    <w:p>
      <w:pPr>
        <w:pStyle w:val="Heading2"/>
      </w:pPr>
      <w:bookmarkStart w:id="24" w:name="三3-年随访纵向风险time-to-event-金矿"/>
      <w:r>
        <w:t xml:space="preserve">三、3 年随访纵向风险（time-to-event 金矿）</w:t>
      </w:r>
      <w:bookmarkEnd w:id="2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终点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mRNA+ 3 年绝对风险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mRNA− 3 年绝对风险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总体人群绝对风险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相对风险 RR（95% CI）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初筛</w:t>
            </w:r>
          </w:p>
        </w:tc>
        <w:tc>
          <w:p>
            <w:pPr>
              <w:pStyle w:val="Compact"/>
              <w:jc w:val="left"/>
            </w:pPr>
            <w:r>
              <w:t xml:space="preserve">≥CIN2</w:t>
            </w:r>
          </w:p>
        </w:tc>
        <w:tc>
          <w:p>
            <w:pPr>
              <w:pStyle w:val="Compact"/>
              <w:jc w:val="left"/>
            </w:pPr>
            <w:r>
              <w:t xml:space="preserve">6.63%</w:t>
            </w:r>
          </w:p>
        </w:tc>
        <w:tc>
          <w:p>
            <w:pPr>
              <w:pStyle w:val="Compact"/>
              <w:jc w:val="left"/>
            </w:pPr>
            <w:r>
              <w:t xml:space="preserve">0.05%</w:t>
            </w:r>
          </w:p>
        </w:tc>
        <w:tc>
          <w:p>
            <w:pPr>
              <w:pStyle w:val="Compact"/>
              <w:jc w:val="left"/>
            </w:pPr>
            <w:r>
              <w:t xml:space="preserve">1.05%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131.31</w:t>
            </w:r>
            <w:r>
              <w:br w:type="textWrapping"/>
            </w:r>
            <w:r>
              <w:t xml:space="preserve">(48.36–356.60)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初筛</w:t>
            </w:r>
          </w:p>
        </w:tc>
        <w:tc>
          <w:p>
            <w:pPr>
              <w:pStyle w:val="Compact"/>
              <w:jc w:val="left"/>
            </w:pPr>
            <w:r>
              <w:t xml:space="preserve">≥CIN3</w:t>
            </w:r>
          </w:p>
        </w:tc>
        <w:tc>
          <w:p>
            <w:pPr>
              <w:pStyle w:val="Compact"/>
              <w:jc w:val="left"/>
            </w:pPr>
            <w:r>
              <w:t xml:space="preserve">2.89%</w:t>
            </w:r>
          </w:p>
        </w:tc>
        <w:tc>
          <w:p>
            <w:pPr>
              <w:pStyle w:val="Compact"/>
              <w:jc w:val="left"/>
            </w:pPr>
            <w:r>
              <w:t xml:space="preserve">0.01%</w:t>
            </w:r>
          </w:p>
        </w:tc>
        <w:tc>
          <w:p>
            <w:pPr>
              <w:pStyle w:val="Compact"/>
              <w:jc w:val="left"/>
            </w:pPr>
            <w:r>
              <w:t xml:space="preserve">0.45%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229.10</w:t>
            </w:r>
            <w:r>
              <w:br w:type="textWrapping"/>
            </w:r>
            <w:r>
              <w:t xml:space="preserve">(31.54–1664.18)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联合筛查</w:t>
            </w:r>
          </w:p>
        </w:tc>
        <w:tc>
          <w:p>
            <w:pPr>
              <w:pStyle w:val="Compact"/>
              <w:jc w:val="left"/>
            </w:pPr>
            <w:r>
              <w:t xml:space="preserve">≥CIN2</w:t>
            </w:r>
          </w:p>
        </w:tc>
        <w:tc>
          <w:p>
            <w:pPr>
              <w:pStyle w:val="Compact"/>
              <w:jc w:val="left"/>
            </w:pPr>
            <w:r>
              <w:t xml:space="preserve">2.91%</w:t>
            </w:r>
          </w:p>
        </w:tc>
        <w:tc>
          <w:p>
            <w:pPr>
              <w:pStyle w:val="Compact"/>
              <w:jc w:val="left"/>
            </w:pPr>
            <w:r>
              <w:t xml:space="preserve">0.04%</w:t>
            </w:r>
          </w:p>
        </w:tc>
        <w:tc>
          <w:p>
            <w:pPr>
              <w:pStyle w:val="Compact"/>
              <w:jc w:val="left"/>
            </w:pPr>
            <w:r>
              <w:t xml:space="preserve">0.45%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72.10</w:t>
            </w:r>
            <w:r>
              <w:br w:type="textWrapping"/>
            </w:r>
            <w:r>
              <w:t xml:space="preserve">(22.24–233.75)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联合筛查</w:t>
            </w:r>
          </w:p>
        </w:tc>
        <w:tc>
          <w:p>
            <w:pPr>
              <w:pStyle w:val="Compact"/>
              <w:jc w:val="left"/>
            </w:pPr>
            <w:r>
              <w:t xml:space="preserve">≥CIN3</w:t>
            </w:r>
          </w:p>
        </w:tc>
        <w:tc>
          <w:p>
            <w:pPr>
              <w:pStyle w:val="Compact"/>
              <w:jc w:val="left"/>
            </w:pPr>
            <w:r>
              <w:t xml:space="preserve">0.89%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0.13%</w:t>
            </w:r>
          </w:p>
        </w:tc>
        <w:tc>
          <w:p>
            <w:pPr>
              <w:pStyle w:val="Compact"/>
              <w:jc w:val="left"/>
            </w:pPr>
            <w:r>
              <w:t xml:space="preserve">—（阴性 0 事件，RR 不收敛）</w:t>
            </w:r>
          </w:p>
        </w:tc>
      </w:tr>
    </w:tbl>
    <w:p>
      <w:pPr>
        <w:pStyle w:val="Compact"/>
      </w:pPr>
      <w:r>
        <w:rPr>
          <w:b/>
        </w:rPr>
        <w:t xml:space="preserve">3 年筛查间隔安全性 — 临床验证通过</w:t>
      </w:r>
      <w:r>
        <w:t xml:space="preserve"> </w:t>
      </w:r>
      <w:r>
        <w:t xml:space="preserve">mRNA 阴性受试者 3 年内发展为 ≥CIN2 的绝对风险 ≤0.05%、≥CIN3 ≤0.01%（初筛场景）。报告原文结论：</w:t>
      </w:r>
      <w:r>
        <w:rPr>
          <w:i/>
        </w:rPr>
        <w:t xml:space="preserve">"提示 3 年筛查间隔安全"</w:t>
      </w:r>
      <w:r>
        <w:t xml:space="preserve">。这一条直接为"3 年复测周期"的随访管理产品逻辑提供了 III 类医疗器械多中心临床试验证据。</w:t>
      </w:r>
    </w:p>
    <w:p>
      <w:pPr>
        <w:pStyle w:val="Heading3"/>
      </w:pPr>
      <w:bookmarkStart w:id="25" w:name="附30-岁以下亚组初筛n307阳性-46-阴性-261"/>
      <w:r>
        <w:t xml:space="preserve">附：30 岁以下亚组（初筛，N=307，阳性 46 / 阴性 261）</w:t>
      </w:r>
      <w:bookmarkEnd w:id="25"/>
    </w:p>
    <w:p>
      <w:pPr>
        <w:pStyle w:val="FirstParagraph"/>
      </w:pPr>
      <w:r>
        <w:t xml:space="preserve">试验在初筛场景下设了 30 岁以下亚组分析，结果支持现行指南"30 岁以下不建议常规 mRNA 初筛"的口径 — 数据虽好但病例数太少（≥CIN2 仅 3 例 / ≥CIN3 仅 2 例），CI 极宽。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终点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病例数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敏感度（95% CI）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特异度（95% CI）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PPV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NPV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≥CIN2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100.00%</w:t>
            </w:r>
            <w:r>
              <w:br w:type="textWrapping"/>
            </w:r>
            <w:r>
              <w:t xml:space="preserve">(29.24–100)</w:t>
            </w:r>
          </w:p>
        </w:tc>
        <w:tc>
          <w:p>
            <w:pPr>
              <w:pStyle w:val="Compact"/>
              <w:jc w:val="left"/>
            </w:pPr>
            <w:r>
              <w:t xml:space="preserve">85.86%</w:t>
            </w:r>
            <w:r>
              <w:br w:type="textWrapping"/>
            </w:r>
            <w:r>
              <w:t xml:space="preserve">(81.42–89.57)</w:t>
            </w:r>
          </w:p>
        </w:tc>
        <w:tc>
          <w:p>
            <w:pPr>
              <w:pStyle w:val="Compact"/>
              <w:jc w:val="left"/>
            </w:pPr>
            <w:r>
              <w:t xml:space="preserve">6.52%</w:t>
            </w:r>
          </w:p>
        </w:tc>
        <w:tc>
          <w:p>
            <w:pPr>
              <w:pStyle w:val="Compact"/>
              <w:jc w:val="left"/>
            </w:pPr>
            <w:r>
              <w:t xml:space="preserve">100.00%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≥CIN3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100.00%</w:t>
            </w:r>
            <w:r>
              <w:br w:type="textWrapping"/>
            </w:r>
            <w:r>
              <w:t xml:space="preserve">(15.81–100)</w:t>
            </w:r>
          </w:p>
        </w:tc>
        <w:tc>
          <w:p>
            <w:pPr>
              <w:pStyle w:val="Compact"/>
              <w:jc w:val="left"/>
            </w:pPr>
            <w:r>
              <w:t xml:space="preserve">85.57%</w:t>
            </w:r>
            <w:r>
              <w:br w:type="textWrapping"/>
            </w:r>
            <w:r>
              <w:t xml:space="preserve">(81.12–89.32)</w:t>
            </w:r>
          </w:p>
        </w:tc>
        <w:tc>
          <w:p>
            <w:pPr>
              <w:pStyle w:val="Compact"/>
              <w:jc w:val="left"/>
            </w:pPr>
            <w:r>
              <w:t xml:space="preserve">4.35%</w:t>
            </w:r>
          </w:p>
        </w:tc>
        <w:tc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p>
      <w:pPr>
        <w:pStyle w:val="BodyText"/>
      </w:pPr>
      <w:r>
        <w:t xml:space="preserve">3 年风险：阳性 ≥CIN2 6.52% / ≥CIN3 4.35%；</w:t>
      </w:r>
      <w:r>
        <w:rPr>
          <w:b/>
        </w:rPr>
        <w:t xml:space="preserve">阴性 ≥CIN2/≥CIN3 均 0 事件</w:t>
      </w:r>
      <w:r>
        <w:t xml:space="preserve">（即 261 例 30 岁以下 mRNA 阴性者 3 年内无人发展为 ≥CIN2）。总体人群 ≥CIN2 0.98% / ≥CIN3 0.65%。</w:t>
      </w:r>
      <w:r>
        <w:rPr>
          <w:b/>
        </w:rPr>
        <w:t xml:space="preserve">读法</w:t>
      </w:r>
      <w:r>
        <w:t xml:space="preserve">：30 岁以下用 mRNA 初筛"理论可行、临床上 CI 太宽"，与现行细胞学优先策略无冲突。</w:t>
      </w:r>
    </w:p>
    <w:p>
      <w:pPr>
        <w:pStyle w:val="Heading3"/>
      </w:pPr>
      <w:bookmarkStart w:id="26" w:name="附细胞学-nilm-对照风险初筛场景"/>
      <w:r>
        <w:t xml:space="preserve">附：细胞学 NILM 对照风险（初筛场景）</w:t>
      </w:r>
      <w:bookmarkEnd w:id="26"/>
    </w:p>
    <w:p>
      <w:pPr>
        <w:pStyle w:val="FirstParagraph"/>
      </w:pPr>
      <w:r>
        <w:t xml:space="preserve">报告额外给出了"细胞学正常（NILM）"人群的 3 年风险，用于 mRNA vs 细胞学的横向比较：</w:t>
      </w:r>
    </w:p>
    <w:p>
      <w:pPr>
        <w:pStyle w:val="Compact"/>
        <w:numPr>
          <w:numId w:val="1001"/>
          <w:ilvl w:val="0"/>
        </w:numPr>
      </w:pPr>
      <w:r>
        <w:t xml:space="preserve">NILM 3 年 ≥CIN2 绝对风险</w:t>
      </w:r>
      <w:r>
        <w:t xml:space="preserve"> </w:t>
      </w:r>
      <w:r>
        <w:rPr>
          <w:b/>
        </w:rPr>
        <w:t xml:space="preserve">0.45%</w:t>
      </w:r>
      <w:r>
        <w:t xml:space="preserve">，相对 mRNA− 的 RR =</w:t>
      </w:r>
      <w:r>
        <w:t xml:space="preserve"> </w:t>
      </w:r>
      <w:r>
        <w:rPr>
          <w:b/>
        </w:rPr>
        <w:t xml:space="preserve">8.83</w:t>
      </w:r>
      <w:r>
        <w:t xml:space="preserve">（3.16–24.68）</w:t>
      </w:r>
    </w:p>
    <w:p>
      <w:pPr>
        <w:pStyle w:val="Compact"/>
        <w:numPr>
          <w:numId w:val="1001"/>
          <w:ilvl w:val="0"/>
        </w:numPr>
      </w:pPr>
      <w:r>
        <w:t xml:space="preserve">NILM 3 年 ≥CIN3 绝对风险</w:t>
      </w:r>
      <w:r>
        <w:t xml:space="preserve"> </w:t>
      </w:r>
      <w:r>
        <w:rPr>
          <w:b/>
        </w:rPr>
        <w:t xml:space="preserve">0.13%</w:t>
      </w:r>
      <w:r>
        <w:t xml:space="preserve">，相对 mRNA− 的 RR =</w:t>
      </w:r>
      <w:r>
        <w:t xml:space="preserve"> </w:t>
      </w:r>
      <w:r>
        <w:rPr>
          <w:b/>
        </w:rPr>
        <w:t xml:space="preserve">10.60</w:t>
      </w:r>
      <w:r>
        <w:t xml:space="preserve">（1.38–81.50）</w:t>
      </w:r>
    </w:p>
    <w:p>
      <w:pPr>
        <w:pStyle w:val="FirstParagraph"/>
      </w:pPr>
      <w:r>
        <w:rPr>
          <w:b/>
        </w:rPr>
        <w:t xml:space="preserve">读法</w:t>
      </w:r>
      <w:r>
        <w:t xml:space="preserve">：NILM 组的 3 年风险显著高于 mRNA− 组（RR 8–10 倍），说明</w:t>
      </w:r>
      <w:r>
        <w:t xml:space="preserve"> </w:t>
      </w:r>
      <w:r>
        <w:rPr>
          <w:b/>
        </w:rPr>
        <w:t xml:space="preserve">mRNA 阴性的安全性高于细胞学阴性</w:t>
      </w:r>
      <w:r>
        <w:t xml:space="preserve"> </w:t>
      </w:r>
      <w:r>
        <w:t xml:space="preserve">— 这是联合筛查场景中"mRNA 增量价值"的核心证据。</w:t>
      </w:r>
    </w:p>
    <w:p>
      <w:pPr>
        <w:pStyle w:val="Heading2"/>
      </w:pPr>
      <w:bookmarkStart w:id="27" w:name="四阈值设计与产品决策含义"/>
      <w:r>
        <w:t xml:space="preserve">四、阈值设计与产品决策含义</w:t>
      </w:r>
      <w:bookmarkEnd w:id="27"/>
    </w:p>
    <w:p>
      <w:pPr>
        <w:pStyle w:val="FirstParagraph"/>
      </w:pPr>
      <w:r>
        <w:t xml:space="preserve">537 例一致性验证样本中，3 例"考核试剂阳性 / 对比试剂阴性"不一致样本详情：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受试者编号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年龄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考核试剂信号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对比试剂信号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4219</w:t>
            </w:r>
          </w:p>
        </w:tc>
        <w:tc>
          <w:p>
            <w:pPr>
              <w:pStyle w:val="Compact"/>
              <w:jc w:val="left"/>
            </w:pPr>
            <w:r>
              <w:t xml:space="preserve">02 北大一院</w:t>
            </w:r>
          </w:p>
        </w:tc>
        <w:tc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1.12</w:t>
            </w:r>
          </w:p>
        </w:tc>
        <w:tc>
          <w:p>
            <w:pPr>
              <w:pStyle w:val="Compact"/>
              <w:jc w:val="left"/>
            </w:pPr>
            <w:r>
              <w:t xml:space="preserve">−0.37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4231</w:t>
            </w:r>
          </w:p>
        </w:tc>
        <w:tc>
          <w:p>
            <w:pPr>
              <w:pStyle w:val="Compact"/>
              <w:jc w:val="left"/>
            </w:pPr>
            <w:r>
              <w:t xml:space="preserve">02 北大一院</w:t>
            </w:r>
          </w:p>
        </w:tc>
        <w:tc>
          <w:p>
            <w:pPr>
              <w:pStyle w:val="Compact"/>
              <w:jc w:val="left"/>
            </w:pPr>
            <w:r>
              <w:t xml:space="preserve">52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1.02</w:t>
            </w:r>
          </w:p>
        </w:tc>
        <w:tc>
          <w:p>
            <w:pPr>
              <w:pStyle w:val="Compact"/>
              <w:jc w:val="left"/>
            </w:pPr>
            <w:r>
              <w:t xml:space="preserve">−0.96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3707</w:t>
            </w:r>
          </w:p>
        </w:tc>
        <w:tc>
          <w:p>
            <w:pPr>
              <w:pStyle w:val="Compact"/>
              <w:jc w:val="left"/>
            </w:pPr>
            <w:r>
              <w:t xml:space="preserve">03 山大齐鲁</w:t>
            </w:r>
          </w:p>
        </w:tc>
        <w:tc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1.78</w:t>
            </w:r>
          </w:p>
        </w:tc>
        <w:tc>
          <w:p>
            <w:pPr>
              <w:pStyle w:val="Compact"/>
              <w:jc w:val="left"/>
            </w:pPr>
            <w:r>
              <w:t xml:space="preserve">−0.27</w:t>
            </w:r>
          </w:p>
        </w:tc>
      </w:tr>
    </w:tbl>
    <w:p>
      <w:pPr>
        <w:pStyle w:val="BodyText"/>
      </w:pPr>
      <w:r>
        <w:t xml:space="preserve">3 例考核阳性信号值 2 例贴近阈值（1.0 一线）、1 例明显阳性（1.78）；对比试剂均落在阴性区（−0.27 至 −0.96）。报告原文解读：</w:t>
      </w:r>
      <w:r>
        <w:rPr>
          <w:i/>
        </w:rPr>
        <w:t xml:space="preserve">"这种不一致情况可能与其筛查功能需具有的更高敏感性有关。"</w:t>
      </w:r>
      <w:r>
        <w:t xml:space="preserve">提示</w:t>
      </w:r>
      <w:r>
        <w:rPr>
          <w:b/>
        </w:rPr>
        <w:t xml:space="preserve">考核试剂检测阈值设置较低，灵敏度优先</w:t>
      </w:r>
      <w:r>
        <w:t xml:space="preserve">，为后续优异临床灵敏度提供技术基础。McNemar 配对检验 P = 0.0833，两种方法差异无统计学意义。</w:t>
      </w:r>
    </w:p>
    <w:p>
      <w:pPr>
        <w:pStyle w:val="BodyText"/>
      </w:pPr>
      <w:r>
        <w:t xml:space="preserve">这一阈值策略直接解释了整体性能分布（初筛 ≥CIN2：假阳 1,323 例 / 假阴仅 4 例）：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阴性结果可信度 &gt;&gt; 阳性结果</w:t>
      </w:r>
      <w:r>
        <w:t xml:space="preserve"> </w:t>
      </w:r>
      <w:r>
        <w:t xml:space="preserve">— 这是筛查类试剂的设计哲学，而非缺陷</w:t>
      </w:r>
    </w:p>
    <w:p>
      <w:pPr>
        <w:pStyle w:val="Compact"/>
        <w:numPr>
          <w:numId w:val="1002"/>
          <w:ilvl w:val="0"/>
        </w:numPr>
      </w:pPr>
      <w:r>
        <w:t xml:space="preserve">PPV 低（初筛 6.63%）意味着</w:t>
      </w:r>
      <w:r>
        <w:t xml:space="preserve"> </w:t>
      </w:r>
      <w:r>
        <w:rPr>
          <w:b/>
        </w:rPr>
        <w:t xml:space="preserve">100 例阳性中仅 6–7 例真 ≥CIN2</w:t>
      </w:r>
    </w:p>
    <w:p>
      <w:pPr>
        <w:pStyle w:val="Compact"/>
      </w:pPr>
      <w:r>
        <w:rPr>
          <w:b/>
        </w:rPr>
        <w:t xml:space="preserve">产品决策含义</w:t>
      </w:r>
      <w:r>
        <w:t xml:space="preserve"> </w:t>
      </w:r>
      <w:r>
        <w:t xml:space="preserve">基于上述分布，下游管理系统的规则引擎应遵循：</w:t>
      </w:r>
      <w:r>
        <w:br w:type="textWrapping"/>
      </w:r>
      <w:r>
        <w:t xml:space="preserve">① mRNA 阴性 → 安全退出，进入 3 年复测通道；</w:t>
      </w:r>
      <w:r>
        <w:br w:type="textWrapping"/>
      </w:r>
      <w:r>
        <w:t xml:space="preserve">② mRNA 阳性 →</w:t>
      </w:r>
      <w:r>
        <w:t xml:space="preserve"> </w:t>
      </w:r>
      <w:r>
        <w:rPr>
          <w:b/>
        </w:rPr>
        <w:t xml:space="preserve">必须分流至 TCT / 阴道镜</w:t>
      </w:r>
      <w:r>
        <w:t xml:space="preserve">，</w:t>
      </w:r>
      <w:r>
        <w:rPr>
          <w:b/>
        </w:rPr>
        <w:t xml:space="preserve">不可直接告知"患癌"</w:t>
      </w:r>
      <w:r>
        <w:t xml:space="preserve">或作出确诊性表述；</w:t>
      </w:r>
      <w:r>
        <w:br w:type="textWrapping"/>
      </w:r>
      <w:r>
        <w:t xml:space="preserve">③ 单独 mRNA 阳性的阳性预测值不足以独立支撑临床决策，必须与细胞学联合判读。</w:t>
      </w:r>
    </w:p>
    <w:p>
      <w:pPr>
        <w:pStyle w:val="Heading2"/>
      </w:pPr>
      <w:bookmarkStart w:id="28" w:name="五14-型高危-hpv-覆盖亚洲流行病学一致性"/>
      <w:r>
        <w:t xml:space="preserve">五、14 型高危 HPV 覆盖（亚洲流行病学一致性）</w:t>
      </w:r>
      <w:bookmarkEnd w:id="28"/>
    </w:p>
    <w:p>
      <w:pPr>
        <w:pStyle w:val="FirstParagraph"/>
      </w:pPr>
      <w:r>
        <w:t xml:space="preserve">390 例分型验证人群中，14 种高危型别均有一定阳性检出：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型别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阳性数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型别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阳性数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型别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阳性数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型别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阳性数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HPV 16</w:t>
            </w:r>
          </w:p>
        </w:tc>
        <w:tc>
          <w:p>
            <w:pPr>
              <w:pStyle w:val="Compact"/>
              <w:jc w:val="left"/>
            </w:pPr>
            <w:r>
              <w:t xml:space="preserve">108</w:t>
            </w:r>
          </w:p>
        </w:tc>
        <w:tc>
          <w:p>
            <w:pPr>
              <w:pStyle w:val="Compact"/>
              <w:jc w:val="left"/>
            </w:pPr>
            <w:r>
              <w:t xml:space="preserve">HPV 18</w:t>
            </w:r>
          </w:p>
        </w:tc>
        <w:tc>
          <w:p>
            <w:pPr>
              <w:pStyle w:val="Compact"/>
              <w:jc w:val="left"/>
            </w:pPr>
            <w:r>
              <w:t xml:space="preserve">61</w:t>
            </w:r>
          </w:p>
        </w:tc>
        <w:tc>
          <w:p>
            <w:pPr>
              <w:pStyle w:val="Compact"/>
              <w:jc w:val="left"/>
            </w:pPr>
            <w:r>
              <w:t xml:space="preserve">HPV 31</w:t>
            </w:r>
          </w:p>
        </w:tc>
        <w:tc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p>
            <w:pPr>
              <w:pStyle w:val="Compact"/>
              <w:jc w:val="left"/>
            </w:pPr>
            <w:r>
              <w:t xml:space="preserve">HPV 33</w:t>
            </w:r>
          </w:p>
        </w:tc>
        <w:tc>
          <w:p>
            <w:pPr>
              <w:pStyle w:val="Compact"/>
              <w:jc w:val="left"/>
            </w:pPr>
            <w:r>
              <w:t xml:space="preserve">33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HPV 35</w:t>
            </w:r>
          </w:p>
        </w:tc>
        <w:tc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HPV 39</w:t>
            </w:r>
          </w:p>
        </w:tc>
        <w:tc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p>
            <w:pPr>
              <w:pStyle w:val="Compact"/>
              <w:jc w:val="left"/>
            </w:pPr>
            <w:r>
              <w:t xml:space="preserve">HPV 45</w:t>
            </w:r>
          </w:p>
        </w:tc>
        <w:tc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HPV 51</w:t>
            </w:r>
          </w:p>
        </w:tc>
        <w:tc>
          <w:p>
            <w:pPr>
              <w:pStyle w:val="Compact"/>
              <w:jc w:val="left"/>
            </w:pPr>
            <w:r>
              <w:t xml:space="preserve">42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HPV 52</w:t>
            </w:r>
          </w:p>
        </w:tc>
        <w:tc>
          <w:p>
            <w:pPr>
              <w:pStyle w:val="Compact"/>
              <w:jc w:val="left"/>
            </w:pPr>
            <w:r>
              <w:t xml:space="preserve">71</w:t>
            </w:r>
          </w:p>
        </w:tc>
        <w:tc>
          <w:p>
            <w:pPr>
              <w:pStyle w:val="Compact"/>
              <w:jc w:val="left"/>
            </w:pPr>
            <w:r>
              <w:t xml:space="preserve">HPV 56</w:t>
            </w:r>
          </w:p>
        </w:tc>
        <w:tc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p>
            <w:pPr>
              <w:pStyle w:val="Compact"/>
              <w:jc w:val="left"/>
            </w:pPr>
            <w:r>
              <w:t xml:space="preserve">HPV 58</w:t>
            </w:r>
          </w:p>
        </w:tc>
        <w:tc>
          <w:p>
            <w:pPr>
              <w:pStyle w:val="Compact"/>
              <w:jc w:val="left"/>
            </w:pPr>
            <w:r>
              <w:t xml:space="preserve">67</w:t>
            </w:r>
          </w:p>
        </w:tc>
        <w:tc>
          <w:p>
            <w:pPr>
              <w:pStyle w:val="Compact"/>
              <w:jc w:val="left"/>
            </w:pPr>
            <w:r>
              <w:t xml:space="preserve">HPV 59</w:t>
            </w:r>
          </w:p>
        </w:tc>
        <w:tc>
          <w:p>
            <w:pPr>
              <w:pStyle w:val="Compact"/>
              <w:jc w:val="left"/>
            </w:pPr>
            <w:r>
              <w:t xml:space="preserve">35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HPV 66</w:t>
            </w:r>
          </w:p>
        </w:tc>
        <w:tc>
          <w:p>
            <w:pPr>
              <w:pStyle w:val="Compact"/>
              <w:jc w:val="left"/>
            </w:pPr>
            <w:r>
              <w:t xml:space="preserve">41</w:t>
            </w:r>
          </w:p>
        </w:tc>
        <w:tc>
          <w:p>
            <w:pPr>
              <w:pStyle w:val="Compact"/>
              <w:jc w:val="left"/>
            </w:pPr>
            <w:r>
              <w:t xml:space="preserve">HPV 68</w:t>
            </w:r>
          </w:p>
        </w:tc>
        <w:tc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全部满足国家指导原则"16 型 ≥100、18 型 ≥50、其他亚型 ≥20"的最低要求。</w:t>
      </w:r>
      <w:r>
        <w:rPr>
          <w:b/>
        </w:rPr>
        <w:t xml:space="preserve">HPV 52（71 例）与 HPV 58（67 例）的高频检出符合中国/亚洲人群流行病学</w:t>
      </w:r>
      <w:r>
        <w:t xml:space="preserve">——这两型在亚洲人群的占比远高于欧美，是产品本土化定位的关键支撑点。</w:t>
      </w:r>
    </w:p>
    <w:p>
      <w:pPr>
        <w:pStyle w:val="Heading2"/>
      </w:pPr>
      <w:bookmarkStart w:id="29" w:name="六与对比试剂一致性方法学稳定性"/>
      <w:r>
        <w:t xml:space="preserve">六、与对比试剂一致性（方法学稳定性）</w:t>
      </w:r>
      <w:bookmarkEnd w:id="29"/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对比试剂</w:t>
            </w:r>
          </w:p>
        </w:tc>
        <w:tc>
          <w:p>
            <w:pPr>
              <w:pStyle w:val="Compact"/>
              <w:jc w:val="left"/>
            </w:pPr>
            <w:r>
              <w:t xml:space="preserve">国械注准 20163401261（科蒂亚已上市 mRNA 试剂盒）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纳入样本</w:t>
            </w:r>
          </w:p>
        </w:tc>
        <w:tc>
          <w:p>
            <w:pPr>
              <w:pStyle w:val="Compact"/>
              <w:jc w:val="left"/>
            </w:pPr>
            <w:r>
              <w:t xml:space="preserve">537 例（考核阳性 225 + 考核阴性 312）</w:t>
            </w:r>
            <w:r>
              <w:br w:type="textWrapping"/>
            </w:r>
            <w:r>
              <w:t xml:space="preserve">考核阴性 312 例细分为：可检测阴性 85 + 不可检测阴性 227；对比试剂阳性 222 / 阴性 315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阳性符合率</w:t>
            </w:r>
          </w:p>
        </w:tc>
        <w:tc>
          <w:p>
            <w:pPr>
              <w:pStyle w:val="Compact"/>
              <w:jc w:val="left"/>
            </w:pPr>
            <w:r>
              <w:t xml:space="preserve">100.00%（95% CI 98.35–100）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阴性符合率</w:t>
            </w:r>
          </w:p>
        </w:tc>
        <w:tc>
          <w:p>
            <w:pPr>
              <w:pStyle w:val="Compact"/>
              <w:jc w:val="left"/>
            </w:pPr>
            <w:r>
              <w:t xml:space="preserve">99.05%（95% CI 97.24–99.80）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总符合率</w:t>
            </w:r>
          </w:p>
        </w:tc>
        <w:tc>
          <w:p>
            <w:pPr>
              <w:pStyle w:val="Compact"/>
              <w:jc w:val="left"/>
            </w:pPr>
            <w:r>
              <w:t xml:space="preserve">99.44%（95% CI 98.38–99.88）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Kappa 值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0.9885</w:t>
            </w:r>
            <w:r>
              <w:t xml:space="preserve">（95% CI 0.9755–1.0000）</w:t>
            </w:r>
          </w:p>
        </w:tc>
      </w:tr>
    </w:tbl>
    <w:p>
      <w:pPr>
        <w:pStyle w:val="BodyText"/>
      </w:pPr>
      <w:r>
        <w:t xml:space="preserve">新老两代试剂盒检测结果高度一致。这意味着</w:t>
      </w:r>
      <w:r>
        <w:rPr>
          <w:b/>
        </w:rPr>
        <w:t xml:space="preserve">老试剂盒的历史拿证数据可作为新试剂盒的纵向延伸证据</w:t>
      </w:r>
      <w:r>
        <w:t xml:space="preserve">——但仍按"分场景"原则，老试剂盒若获批 ASCUS 分流适应症，</w:t>
      </w:r>
      <w:r>
        <w:rPr>
          <w:b/>
        </w:rPr>
        <w:t xml:space="preserve">不等于</w:t>
      </w:r>
      <w:r>
        <w:t xml:space="preserve">新试剂盒自动获得该适应症，需独立验证。</w:t>
      </w:r>
    </w:p>
    <w:p>
      <w:pPr>
        <w:pStyle w:val="Heading2"/>
      </w:pPr>
      <w:bookmarkStart w:id="30" w:name="七产品逻辑映射三条可落地结论"/>
      <w:r>
        <w:t xml:space="preserve">七、产品逻辑映射（三条可落地结论）</w:t>
      </w:r>
      <w:bookmarkEnd w:id="30"/>
    </w:p>
    <w:p>
      <w:pPr>
        <w:pStyle w:val="Heading3"/>
      </w:pPr>
      <w:bookmarkStart w:id="31" w:name="年费服务包3-年复测周期-有注册临床证据"/>
      <w:r>
        <w:t xml:space="preserve">1. 年费服务包「3 年复测周期」— 有注册临床证据</w:t>
      </w:r>
      <w:bookmarkEnd w:id="31"/>
    </w:p>
    <w:p>
      <w:pPr>
        <w:pStyle w:val="FirstParagraph"/>
      </w:pPr>
      <w:r>
        <w:t xml:space="preserve">3 年随访风险数据锁定复测间隔。产品口径可写：</w:t>
      </w:r>
      <w:r>
        <w:rPr>
          <w:i/>
        </w:rPr>
        <w:t xml:space="preserve">"基于 3 中心 11,392 例多中心临床试验 + 3 年随访，NPV ≥99.95%，3 年筛查间隔安全性获临床验证。"</w:t>
      </w:r>
      <w:r>
        <w:t xml:space="preserve"> </w:t>
      </w:r>
      <w:r>
        <w:rPr>
          <w:b/>
        </w:rPr>
        <w:t xml:space="preserve">禁</w:t>
      </w:r>
      <w:r>
        <w:t xml:space="preserve">在同一句话中延伸到 ASCUS 分流、术后复发预测等未验证场景。</w:t>
      </w:r>
    </w:p>
    <w:p>
      <w:pPr>
        <w:pStyle w:val="Heading3"/>
      </w:pPr>
      <w:bookmarkStart w:id="32" w:name="规则引擎mrna-是筛查场景的独立维度"/>
      <w:r>
        <w:t xml:space="preserve">2. 规则引擎：mRNA 是筛查场景的独立维度</w:t>
      </w:r>
      <w:bookmarkEnd w:id="32"/>
    </w:p>
    <w:p>
      <w:pPr>
        <w:pStyle w:val="FirstParagraph"/>
      </w:pPr>
      <w:r>
        <w:t xml:space="preserve">本报告证明 mRNA 检测</w:t>
      </w:r>
      <w:r>
        <w:rPr>
          <w:b/>
        </w:rPr>
        <w:t xml:space="preserve">可单独作为初筛维度使用</w:t>
      </w:r>
      <w:r>
        <w:t xml:space="preserve">，不一定与 TCT 绑定。在筛查场景的规则引擎设计中，mRNA 阴/阳 + 14 型分型构成独立二维输入；进入分流场景后，TCT × mRNA 四象限才是组织规则的主框架。</w:t>
      </w:r>
      <w:r>
        <w:rPr>
          <w:b/>
        </w:rPr>
        <w:t xml:space="preserve">筛查与分流是两套规则、两个数据池、两份报告，不可共用同一套决策口径。</w:t>
      </w:r>
    </w:p>
    <w:p>
      <w:pPr>
        <w:pStyle w:val="Heading3"/>
      </w:pPr>
      <w:bookmarkStart w:id="33" w:name="合规边界"/>
      <w:r>
        <w:t xml:space="preserve">3. 合规边界</w:t>
      </w:r>
      <w:bookmarkEnd w:id="33"/>
    </w:p>
    <w:p>
      <w:pPr>
        <w:pStyle w:val="FirstParagraph"/>
      </w:pPr>
      <w:r>
        <w:t xml:space="preserve">报告自述"不良事件：无；存在问题及改进建议：无"——这是</w:t>
      </w:r>
      <w:r>
        <w:rPr>
          <w:b/>
        </w:rPr>
        <w:t xml:space="preserve">注册申报口径</w:t>
      </w:r>
      <w:r>
        <w:t xml:space="preserve">，对外监管沟通/宣传物料可引，但</w:t>
      </w:r>
      <w:r>
        <w:rPr>
          <w:b/>
        </w:rPr>
        <w:t xml:space="preserve">内部产品决策不能据此假设临床零风险</w:t>
      </w:r>
      <w:r>
        <w:t xml:space="preserve">。3 家中心均获伦理委员会批准，所有受试者采样前签署知情同意书。</w:t>
      </w:r>
    </w:p>
    <w:p>
      <w:pPr>
        <w:pStyle w:val="Heading2"/>
      </w:pPr>
      <w:bookmarkStart w:id="34" w:name="八报告盲区与待核实项"/>
      <w:r>
        <w:t xml:space="preserve">八、报告盲区与待核实项</w:t>
      </w:r>
      <w:bookmarkEnd w:id="34"/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PPV 偏低</w:t>
      </w:r>
      <w:r>
        <w:t xml:space="preserve">（初筛 6.63%、联合筛查 2.91%）—— 单独 mRNA 阳性预测患癌能力弱，必须联合 TCT。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30 岁以下亚组</w:t>
      </w:r>
      <w:r>
        <w:t xml:space="preserve">（307 例）CI 极宽（详见第三节附表）—— 支持现行指南"30 岁以下不建议用 mRNA 初筛"的口径，产品设计应守此界。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疫苗人群外推盲区</w:t>
      </w:r>
      <w:r>
        <w:t xml:space="preserve">—— 排除标准含"已接种 HPV 疫苗者"，本数据集不覆盖疫苗世代，后者基线风险已结构性下降，需上市后真实世界数据独立验证（详见第十一节边界提示）。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"不良事件：无"</w:t>
      </w:r>
      <w:r>
        <w:t xml:space="preserve">系注册口径，真实世界使用中仍需建立上市后监测。</w:t>
      </w:r>
    </w:p>
    <w:p>
      <w:pPr>
        <w:pStyle w:val="Heading2"/>
      </w:pPr>
      <w:bookmarkStart w:id="35" w:name="九未覆盖场景需独立数据池补强"/>
      <w:r>
        <w:t xml:space="preserve">九、未覆盖场景（需独立数据池补强）</w:t>
      </w:r>
      <w:bookmarkEnd w:id="35"/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ASCUS 分流场景</w:t>
            </w:r>
          </w:p>
        </w:tc>
        <w:tc>
          <w:p>
            <w:pPr>
              <w:pStyle w:val="Compact"/>
              <w:jc w:val="left"/>
            </w:pPr>
            <w:r>
              <w:t xml:space="preserve">本报告未验证。科蒂亚已上市老试剂盒（国械注准 20163401261）历史数据可能覆盖，需独立申请并按"分场景"原则隔离使用。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CIN1/2 锥切术后随访</w:t>
            </w:r>
          </w:p>
        </w:tc>
        <w:tc>
          <w:p>
            <w:pPr>
              <w:pStyle w:val="Compact"/>
              <w:jc w:val="left"/>
            </w:pPr>
            <w:r>
              <w:t xml:space="preserve">本报告未验证。需医学部补充字段：分型、病理、时间戳、样本量 N ≥30、数据字典。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DNA-RNA 载量差</w:t>
            </w:r>
          </w:p>
        </w:tc>
        <w:tc>
          <w:p>
            <w:pPr>
              <w:pStyle w:val="Compact"/>
              <w:jc w:val="left"/>
            </w:pPr>
            <w:r>
              <w:t xml:space="preserve">本报告未涉及，且按既有原则</w:t>
            </w:r>
            <w:r>
              <w:rPr>
                <w:b/>
              </w:rPr>
              <w:t xml:space="preserve">禁入决策路径</w:t>
            </w:r>
            <w:r>
              <w:t xml:space="preserve">（数据不存在 + 定位冲突 + 合规反向三重墙）。仅可作为文献综述候选假说。</w:t>
            </w:r>
          </w:p>
        </w:tc>
      </w:tr>
    </w:tbl>
    <w:p>
      <w:pPr>
        <w:pStyle w:val="Compact"/>
      </w:pPr>
      <w:r>
        <w:rPr>
          <w:b/>
        </w:rPr>
        <w:t xml:space="preserve">资产清单</w:t>
      </w:r>
      <w:r>
        <w:t xml:space="preserve"> </w:t>
      </w:r>
      <w:r>
        <w:t xml:space="preserve">本报告（筛查线）+ 国械注准 20163401261 历史数据（潜在 ASCUS 分流线）= 两套独立金标准池。CIN1/2 锥切术后随访、DNA-RNA 载量差等场景仍需医学部补字段后独立验证。</w:t>
      </w:r>
    </w:p>
    <w:p>
      <w:pPr>
        <w:pStyle w:val="Heading2"/>
      </w:pPr>
      <w:bookmarkStart w:id="36" w:name="十方法学原理bdna-信号扩增法"/>
      <w:r>
        <w:t xml:space="preserve">十、方法学原理（bDNA 信号扩增法）</w:t>
      </w:r>
      <w:bookmarkEnd w:id="36"/>
    </w:p>
    <w:p>
      <w:pPr>
        <w:pStyle w:val="FirstParagraph"/>
      </w:pPr>
      <w:r>
        <w:t xml:space="preserve">试剂盒采用</w:t>
      </w:r>
      <w:r>
        <w:rPr>
          <w:b/>
        </w:rPr>
        <w:t xml:space="preserve">分支链 DNA（branched-DNA, bDNA）信号扩增技术</w:t>
      </w:r>
      <w:r>
        <w:t xml:space="preserve">检测宫颈脱落细胞样本中的 HR-HPV E6/E7 mRNA：</w:t>
      </w:r>
    </w:p>
    <w:p>
      <w:pPr>
        <w:pStyle w:val="Compact"/>
        <w:numPr>
          <w:numId w:val="1004"/>
          <w:ilvl w:val="0"/>
        </w:numPr>
      </w:pPr>
      <w:r>
        <w:t xml:space="preserve">样本中靶 RNA 与</w:t>
      </w:r>
      <w:r>
        <w:rPr>
          <w:b/>
        </w:rPr>
        <w:t xml:space="preserve">特异性检测探针</w:t>
      </w:r>
      <w:r>
        <w:t xml:space="preserve">杂交，同时被</w:t>
      </w:r>
      <w:r>
        <w:rPr>
          <w:b/>
        </w:rPr>
        <w:t xml:space="preserve">包被板板底探针捕获</w:t>
      </w:r>
      <w:r>
        <w:t xml:space="preserve">，形成以靶 RNA 为夹心的"三明治"杂交体；</w:t>
      </w:r>
    </w:p>
    <w:p>
      <w:pPr>
        <w:pStyle w:val="Compact"/>
        <w:numPr>
          <w:numId w:val="1004"/>
          <w:ilvl w:val="0"/>
        </w:numPr>
      </w:pPr>
      <w:r>
        <w:t xml:space="preserve">杂交体与</w:t>
      </w:r>
      <w:r>
        <w:rPr>
          <w:b/>
        </w:rPr>
        <w:t xml:space="preserve">预放大分子、放大分子杂交级联放大</w:t>
      </w:r>
      <w:r>
        <w:t xml:space="preserve">，再与探针标记物交联，实现靶 RNA 信号的多级放大；</w:t>
      </w:r>
    </w:p>
    <w:p>
      <w:pPr>
        <w:pStyle w:val="Compact"/>
        <w:numPr>
          <w:numId w:val="1004"/>
          <w:ilvl w:val="0"/>
        </w:numPr>
      </w:pPr>
      <w:r>
        <w:t xml:space="preserve">加底物后产生</w:t>
      </w:r>
      <w:r>
        <w:rPr>
          <w:b/>
        </w:rPr>
        <w:t xml:space="preserve">化学光</w:t>
      </w:r>
      <w:r>
        <w:t xml:space="preserve">，由光电倍增管检测，依据光信号判定是否存在 E6/E7 mRNA。</w:t>
      </w:r>
    </w:p>
    <w:p>
      <w:pPr>
        <w:pStyle w:val="FirstParagraph"/>
      </w:pPr>
      <w:r>
        <w:rPr>
          <w:b/>
        </w:rPr>
        <w:t xml:space="preserve">方法学定位</w:t>
      </w:r>
      <w:r>
        <w:t xml:space="preserve">：bDNA 与 RT-PCR 同属核酸扩增检测，但 bDNA 通过信号级联放大（非模板扩增），</w:t>
      </w:r>
      <w:r>
        <w:rPr>
          <w:b/>
        </w:rPr>
        <w:t xml:space="preserve">不依赖逆转录与热循环</w:t>
      </w:r>
      <w:r>
        <w:t xml:space="preserve">，对样本质量波动更稳健；与 DNA 检测相比，</w:t>
      </w:r>
      <w:r>
        <w:rPr>
          <w:b/>
        </w:rPr>
        <w:t xml:space="preserve">mRNA 表征病毒转录活性，与宫颈病变进展风险更相关</w:t>
      </w:r>
      <w:r>
        <w:t xml:space="preserve">（DNA 阳性可能仅是一过性感染或病毒整合前状态）。</w:t>
      </w:r>
    </w:p>
    <w:p>
      <w:pPr>
        <w:pStyle w:val="Heading2"/>
      </w:pPr>
      <w:bookmarkStart w:id="37" w:name="十一入排标准与人群边界"/>
      <w:r>
        <w:t xml:space="preserve">十一、入排标准与人群边界</w:t>
      </w:r>
      <w:bookmarkEnd w:id="37"/>
    </w:p>
    <w:p>
      <w:pPr>
        <w:pStyle w:val="Heading3"/>
      </w:pPr>
      <w:bookmarkStart w:id="38" w:name="入选标准"/>
      <w:r>
        <w:t xml:space="preserve">入选标准</w:t>
      </w:r>
      <w:bookmarkEnd w:id="38"/>
    </w:p>
    <w:p>
      <w:pPr>
        <w:pStyle w:val="Compact"/>
        <w:numPr>
          <w:numId w:val="1005"/>
          <w:ilvl w:val="0"/>
        </w:numPr>
      </w:pPr>
      <w:r>
        <w:t xml:space="preserve">21–65 周岁、有性生活史的女性；</w:t>
      </w:r>
    </w:p>
    <w:p>
      <w:pPr>
        <w:pStyle w:val="Compact"/>
        <w:numPr>
          <w:numId w:val="1005"/>
          <w:ilvl w:val="0"/>
        </w:numPr>
      </w:pPr>
      <w:r>
        <w:t xml:space="preserve">自愿接受宫颈癌筛查基础检测，异常者能承受阴道镜和组织病理检查；</w:t>
      </w:r>
    </w:p>
    <w:p>
      <w:pPr>
        <w:pStyle w:val="Compact"/>
        <w:numPr>
          <w:numId w:val="1005"/>
          <w:ilvl w:val="0"/>
        </w:numPr>
      </w:pPr>
      <w:r>
        <w:t xml:space="preserve">自愿进行为期 3 年的随访。</w:t>
      </w:r>
    </w:p>
    <w:p>
      <w:pPr>
        <w:pStyle w:val="Heading3"/>
      </w:pPr>
      <w:bookmarkStart w:id="39" w:name="排除标准"/>
      <w:r>
        <w:t xml:space="preserve">排除标准</w:t>
      </w:r>
      <w:bookmarkEnd w:id="39"/>
    </w:p>
    <w:p>
      <w:pPr>
        <w:pStyle w:val="Compact"/>
        <w:numPr>
          <w:numId w:val="1006"/>
          <w:ilvl w:val="0"/>
        </w:numPr>
      </w:pPr>
      <w:r>
        <w:t xml:space="preserve">妊娠期或产后 8 周及以内；</w:t>
      </w:r>
    </w:p>
    <w:p>
      <w:pPr>
        <w:pStyle w:val="Compact"/>
        <w:numPr>
          <w:numId w:val="1006"/>
          <w:ilvl w:val="0"/>
        </w:numPr>
      </w:pPr>
      <w:r>
        <w:t xml:space="preserve">有盆腔放化疗治疗史、基础研究前 12 个月内进行过宫颈切除术、或已行子宫全切术；</w:t>
      </w:r>
    </w:p>
    <w:p>
      <w:pPr>
        <w:pStyle w:val="Compact"/>
        <w:numPr>
          <w:numId w:val="1006"/>
          <w:ilvl w:val="0"/>
        </w:numPr>
      </w:pPr>
      <w:r>
        <w:t xml:space="preserve">采样前 24 小时内曾使用抗真菌药膏、避孕药或宫颈冲洗液；</w:t>
      </w:r>
    </w:p>
    <w:p>
      <w:pPr>
        <w:pStyle w:val="Compact"/>
        <w:numPr>
          <w:numId w:val="1006"/>
          <w:ilvl w:val="0"/>
        </w:numPr>
      </w:pPr>
      <w:r>
        <w:t xml:space="preserve">已确诊为宫颈癌前病变或宫颈癌并已接受治疗；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已接种 HPV 疫苗的女性</w:t>
      </w:r>
      <w:r>
        <w:t xml:space="preserve">（重要边界：本数据集不覆盖疫苗人群）。</w:t>
      </w:r>
    </w:p>
    <w:p>
      <w:pPr>
        <w:pStyle w:val="Compact"/>
      </w:pPr>
      <w:r>
        <w:rPr>
          <w:b/>
        </w:rPr>
        <w:t xml:space="preserve">人群边界合规提示</w:t>
      </w:r>
      <w:r>
        <w:t xml:space="preserve"> </w:t>
      </w:r>
      <w:r>
        <w:t xml:space="preserve">排除已接种疫苗人群 → 本数据集建立的性能基线</w:t>
      </w:r>
      <w:r>
        <w:rPr>
          <w:b/>
        </w:rPr>
        <w:t xml:space="preserve">不能直接外推到疫苗接种世代</w:t>
      </w:r>
      <w:r>
        <w:t xml:space="preserve">。后者基线风险已被疫苗压低（HR-HPV 感染率下降），mRNA 阳性预测值、3 年风险绝对值都需要上市后真实世界数据独立验证。对外话术"性能已临床验证"需附"在未接种疫苗人群中"的限定。</w:t>
      </w:r>
    </w:p>
    <w:p>
      <w:pPr>
        <w:pStyle w:val="Heading2"/>
      </w:pPr>
      <w:bookmarkStart w:id="40" w:name="十二随访设计与金标准仲裁机制"/>
      <w:r>
        <w:t xml:space="preserve">十二、随访设计与金标准仲裁机制</w:t>
      </w:r>
      <w:bookmarkEnd w:id="40"/>
    </w:p>
    <w:p>
      <w:pPr>
        <w:pStyle w:val="FirstParagraph"/>
      </w:pPr>
      <w:r>
        <w:t xml:space="preserve">3 年随访分 V1/V2/V3/V4 四次随访节点，逻辑如下：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V1 基线</w:t>
      </w:r>
      <w:r>
        <w:t xml:space="preserve">：基础检测（细胞学 + mRNA）。</w:t>
      </w:r>
      <w:r>
        <w:rPr>
          <w:i/>
        </w:rPr>
        <w:t xml:space="preserve">细胞学 ≥ ASCUS</w:t>
      </w:r>
      <w:r>
        <w:t xml:space="preserve"> </w:t>
      </w:r>
      <w:r>
        <w:t xml:space="preserve">或</w:t>
      </w:r>
      <w:r>
        <w:t xml:space="preserve"> </w:t>
      </w:r>
      <w:r>
        <w:rPr>
          <w:i/>
        </w:rPr>
        <w:t xml:space="preserve">mRNA 阳性</w:t>
      </w:r>
      <w:r>
        <w:t xml:space="preserve"> </w:t>
      </w:r>
      <w:r>
        <w:t xml:space="preserve">进阴道镜/病理；</w:t>
      </w:r>
      <w:r>
        <w:rPr>
          <w:i/>
        </w:rPr>
        <w:t xml:space="preserve">≥CIN2</w:t>
      </w:r>
      <w:r>
        <w:t xml:space="preserve"> </w:t>
      </w:r>
      <w:r>
        <w:t xml:space="preserve">入病例组；</w:t>
      </w:r>
      <w:r>
        <w:rPr>
          <w:i/>
        </w:rPr>
        <w:t xml:space="preserve">mRNA 阴性 且 NILM</w:t>
      </w:r>
      <w:r>
        <w:t xml:space="preserve"> </w:t>
      </w:r>
      <w:r>
        <w:t xml:space="preserve">跳到 V4；其余进 V2。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V2 满 1 年</w:t>
      </w:r>
      <w:r>
        <w:t xml:space="preserve">：同样规则分流，</w:t>
      </w:r>
      <w:r>
        <w:rPr>
          <w:i/>
        </w:rPr>
        <w:t xml:space="preserve">≥CIN2</w:t>
      </w:r>
      <w:r>
        <w:t xml:space="preserve"> </w:t>
      </w:r>
      <w:r>
        <w:t xml:space="preserve">入病例组、</w:t>
      </w:r>
      <w:r>
        <w:rPr>
          <w:i/>
        </w:rPr>
        <w:t xml:space="preserve">mRNA− 且 NILM</w:t>
      </w:r>
      <w:r>
        <w:t xml:space="preserve"> </w:t>
      </w:r>
      <w:r>
        <w:t xml:space="preserve">跳 V4、其余进 V3。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V3 满 2 年</w:t>
      </w:r>
      <w:r>
        <w:t xml:space="preserve">：同上，未确诊 ≥CIN2 者全部进 V4。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V4 满 3 年（终点）</w:t>
      </w:r>
      <w:r>
        <w:t xml:space="preserve">：除已确诊 ≥CIN2 者，</w:t>
      </w:r>
      <w:r>
        <w:rPr>
          <w:i/>
        </w:rPr>
        <w:t xml:space="preserve">所有受试者</w:t>
      </w:r>
      <w:r>
        <w:t xml:space="preserve">进阴道镜/病理，按 ≥CIN2 vs &lt;CIN2 分入病例组/非病例组。</w:t>
      </w:r>
    </w:p>
    <w:p>
      <w:pPr>
        <w:pStyle w:val="FirstParagraph"/>
      </w:pPr>
      <w:r>
        <w:rPr>
          <w:b/>
        </w:rPr>
        <w:t xml:space="preserve">金标准仲裁机制</w:t>
      </w:r>
      <w:r>
        <w:t xml:space="preserve">：组织病理学检查采用</w:t>
      </w:r>
      <w:r>
        <w:rPr>
          <w:b/>
        </w:rPr>
        <w:t xml:space="preserve">两名专家盲法阅片</w:t>
      </w:r>
      <w:r>
        <w:t xml:space="preserve">，不一致时讨论；讨论不能达成一致时，</w:t>
      </w:r>
      <w:r>
        <w:rPr>
          <w:b/>
        </w:rPr>
        <w:t xml:space="preserve">请第三位专家盲法阅片</w:t>
      </w:r>
      <w:r>
        <w:t xml:space="preserve">，取两名专家一致结果作为最终结果。</w:t>
      </w:r>
    </w:p>
    <w:p>
      <w:pPr>
        <w:pStyle w:val="Heading2"/>
      </w:pPr>
      <w:bookmarkStart w:id="41" w:name="十三方案修订历史6-次版本演进"/>
      <w:r>
        <w:t xml:space="preserve">十三、方案修订历史（6 次版本演进）</w:t>
      </w:r>
      <w:bookmarkEnd w:id="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版本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日期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关键修订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伦理批准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p>
            <w:pPr>
              <w:pStyle w:val="Compact"/>
              <w:jc w:val="left"/>
            </w:pPr>
            <w:r>
              <w:t xml:space="preserve">2018-06-13</w:t>
            </w:r>
          </w:p>
        </w:tc>
        <w:tc>
          <w:p>
            <w:pPr>
              <w:pStyle w:val="Compact"/>
              <w:jc w:val="left"/>
            </w:pPr>
            <w:r>
              <w:t xml:space="preserve">原始版本</w:t>
            </w:r>
          </w:p>
        </w:tc>
        <w:tc>
          <w:p>
            <w:pPr>
              <w:pStyle w:val="Compact"/>
              <w:jc w:val="left"/>
            </w:pPr>
            <w:r>
              <w:t xml:space="preserve">2018-07-05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p>
            <w:pPr>
              <w:pStyle w:val="Compact"/>
              <w:jc w:val="left"/>
            </w:pPr>
            <w:r>
              <w:t xml:space="preserve">2018-10-09</w:t>
            </w:r>
          </w:p>
        </w:tc>
        <w:tc>
          <w:p>
            <w:pPr>
              <w:pStyle w:val="Compact"/>
              <w:jc w:val="left"/>
            </w:pPr>
            <w:r>
              <w:t xml:space="preserve">补充统计学、操作流程、遗漏</w:t>
            </w:r>
          </w:p>
        </w:tc>
        <w:tc>
          <w:p>
            <w:pPr>
              <w:pStyle w:val="Compact"/>
              <w:jc w:val="left"/>
            </w:pPr>
            <w:r>
              <w:t xml:space="preserve">2018-12-20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p>
            <w:pPr>
              <w:pStyle w:val="Compact"/>
              <w:jc w:val="left"/>
            </w:pPr>
            <w:r>
              <w:t xml:space="preserve">2019-03-18</w:t>
            </w:r>
          </w:p>
        </w:tc>
        <w:tc>
          <w:p>
            <w:pPr>
              <w:pStyle w:val="Compact"/>
              <w:jc w:val="left"/>
            </w:pPr>
            <w:r>
              <w:t xml:space="preserve">增加准确性评价及可操作性</w:t>
            </w:r>
          </w:p>
        </w:tc>
        <w:tc>
          <w:p>
            <w:pPr>
              <w:pStyle w:val="Compact"/>
              <w:jc w:val="left"/>
            </w:pPr>
            <w:r>
              <w:t xml:space="preserve">2019-08-26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p>
            <w:pPr>
              <w:pStyle w:val="Compact"/>
              <w:jc w:val="left"/>
            </w:pPr>
            <w:r>
              <w:t xml:space="preserve">2019-10-11</w:t>
            </w:r>
          </w:p>
        </w:tc>
        <w:tc>
          <w:p>
            <w:pPr>
              <w:pStyle w:val="Compact"/>
              <w:jc w:val="left"/>
            </w:pPr>
            <w:r>
              <w:t xml:space="preserve">纠正中心 2 名称</w:t>
            </w:r>
          </w:p>
        </w:tc>
        <w:tc>
          <w:p>
            <w:pPr>
              <w:pStyle w:val="Compact"/>
              <w:jc w:val="left"/>
            </w:pPr>
            <w:r>
              <w:t xml:space="preserve">2019-11-04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p>
            <w:pPr>
              <w:pStyle w:val="Compact"/>
              <w:jc w:val="left"/>
            </w:pPr>
            <w:r>
              <w:t xml:space="preserve">2020-04-24</w:t>
            </w:r>
          </w:p>
        </w:tc>
        <w:tc>
          <w:p>
            <w:pPr>
              <w:pStyle w:val="Compact"/>
              <w:jc w:val="left"/>
            </w:pPr>
            <w:r>
              <w:t xml:space="preserve">分型试剂盒去掉"可检测到"/"不可检测到"表述</w:t>
            </w:r>
          </w:p>
        </w:tc>
        <w:tc>
          <w:p>
            <w:pPr>
              <w:pStyle w:val="Compact"/>
              <w:jc w:val="left"/>
            </w:pPr>
            <w:r>
              <w:t xml:space="preserve">2020-06-28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p>
            <w:pPr>
              <w:pStyle w:val="Compact"/>
              <w:jc w:val="left"/>
            </w:pPr>
            <w:r>
              <w:t xml:space="preserve">2021-04-24</w:t>
            </w:r>
          </w:p>
        </w:tc>
        <w:tc>
          <w:p>
            <w:pPr>
              <w:pStyle w:val="Compact"/>
              <w:jc w:val="left"/>
            </w:pPr>
            <w:r>
              <w:t xml:space="preserve">增加细胞学不满意受试者试验流程</w:t>
            </w:r>
          </w:p>
        </w:tc>
        <w:tc>
          <w:p>
            <w:pPr>
              <w:pStyle w:val="Compact"/>
              <w:jc w:val="left"/>
            </w:pPr>
            <w:r>
              <w:t xml:space="preserve">2021-08-03</w:t>
            </w:r>
          </w:p>
        </w:tc>
      </w:tr>
    </w:tbl>
    <w:p>
      <w:pPr>
        <w:pStyle w:val="BodyText"/>
      </w:pPr>
      <w:r>
        <w:rPr>
          <w:b/>
        </w:rPr>
        <w:t xml:space="preserve">读法</w:t>
      </w:r>
      <w:r>
        <w:t xml:space="preserve">：6 次修订反映注册临床试验的合规严谨性，</w:t>
      </w:r>
      <w:r>
        <w:rPr>
          <w:b/>
        </w:rPr>
        <w:t xml:space="preserve">方案迭代全程留痕、各版均有独立伦理批件</w:t>
      </w:r>
      <w:r>
        <w:t xml:space="preserve">。V6.0 即本报告引用版本；V5.0 的"去掉可检测/不可检测到阴性区分"提示早期分型口径有调整，对比新老试剂盒数据时需注意口径一致性。</w:t>
      </w:r>
    </w:p>
    <w:p>
      <w:pPr>
        <w:pStyle w:val="Heading2"/>
      </w:pPr>
      <w:bookmarkStart w:id="42" w:name="十四国内已上市同类产品对比"/>
      <w:r>
        <w:t xml:space="preserve">十四、国内已上市同类产品对比</w:t>
      </w:r>
      <w:bookmarkEnd w:id="42"/>
    </w:p>
    <w:p>
      <w:pPr>
        <w:pStyle w:val="FirstParagraph"/>
      </w:pPr>
      <w:r>
        <w:t xml:space="preserve">报告背景段列出了国内已批准上市的 5 款 HPV E6/E7 mRNA 检测试剂盒：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产品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注册证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注册人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APTIMA HPV Assay</w:t>
            </w:r>
          </w:p>
        </w:tc>
        <w:tc>
          <w:p>
            <w:pPr>
              <w:pStyle w:val="Compact"/>
              <w:jc w:val="left"/>
            </w:pPr>
            <w:r>
              <w:t xml:space="preserve">国械注进 20183401863</w:t>
            </w:r>
          </w:p>
        </w:tc>
        <w:tc>
          <w:p>
            <w:pPr>
              <w:pStyle w:val="Compact"/>
              <w:jc w:val="left"/>
            </w:pPr>
            <w:r>
              <w:t xml:space="preserve">豪洛捷 Hologic</w:t>
            </w:r>
          </w:p>
        </w:tc>
        <w:tc>
          <w:p>
            <w:pPr>
              <w:pStyle w:val="Compact"/>
              <w:jc w:val="left"/>
            </w:pPr>
            <w:r>
              <w:t xml:space="preserve">捕获杂交法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APTIMA HPV 16 18/45 Genotype</w:t>
            </w:r>
          </w:p>
        </w:tc>
        <w:tc>
          <w:p>
            <w:pPr>
              <w:pStyle w:val="Compact"/>
              <w:jc w:val="left"/>
            </w:pPr>
            <w:r>
              <w:t xml:space="preserve">国械注进 20193402126</w:t>
            </w:r>
          </w:p>
        </w:tc>
        <w:tc>
          <w:p>
            <w:pPr>
              <w:pStyle w:val="Compact"/>
              <w:jc w:val="left"/>
            </w:pPr>
            <w:r>
              <w:t xml:space="preserve">豪洛捷 Hologic</w:t>
            </w:r>
          </w:p>
        </w:tc>
        <w:tc>
          <w:p>
            <w:pPr>
              <w:pStyle w:val="Compact"/>
              <w:jc w:val="left"/>
            </w:pPr>
            <w:r>
              <w:t xml:space="preserve">捕获杂交法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科蒂亚老款（本报告对比试剂）</w:t>
            </w:r>
          </w:p>
        </w:tc>
        <w:tc>
          <w:p>
            <w:pPr>
              <w:pStyle w:val="Compact"/>
              <w:jc w:val="left"/>
            </w:pPr>
            <w:r>
              <w:t xml:space="preserve">国械注准 20163401261</w:t>
            </w:r>
          </w:p>
        </w:tc>
        <w:tc>
          <w:p>
            <w:pPr>
              <w:pStyle w:val="Compact"/>
              <w:jc w:val="left"/>
            </w:pPr>
            <w:r>
              <w:t xml:space="preserve">郑州科蒂亚</w:t>
            </w:r>
          </w:p>
        </w:tc>
        <w:tc>
          <w:p>
            <w:pPr>
              <w:pStyle w:val="Compact"/>
              <w:jc w:val="left"/>
            </w:pPr>
            <w:r>
              <w:t xml:space="preserve">bDNA 信号扩增法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HPV E6/E7 mRNA 基因分型</w:t>
            </w:r>
          </w:p>
        </w:tc>
        <w:tc>
          <w:p>
            <w:pPr>
              <w:pStyle w:val="Compact"/>
              <w:jc w:val="left"/>
            </w:pPr>
            <w:r>
              <w:t xml:space="preserve">国械注准 20243401664</w:t>
            </w:r>
          </w:p>
        </w:tc>
        <w:tc>
          <w:p>
            <w:pPr>
              <w:pStyle w:val="Compact"/>
              <w:jc w:val="left"/>
            </w:pPr>
            <w:r>
              <w:t xml:space="preserve">广州宝创</w:t>
            </w:r>
          </w:p>
        </w:tc>
        <w:tc>
          <w:p>
            <w:pPr>
              <w:pStyle w:val="Compact"/>
              <w:jc w:val="left"/>
            </w:pPr>
            <w:r>
              <w:t xml:space="preserve">荧光 PCR-熔解曲线法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高危型 HPV E6/E7 区 mRNA</w:t>
            </w:r>
          </w:p>
        </w:tc>
        <w:tc>
          <w:p>
            <w:pPr>
              <w:pStyle w:val="Compact"/>
              <w:jc w:val="left"/>
            </w:pPr>
            <w:r>
              <w:t xml:space="preserve">国械注准 20233401459</w:t>
            </w:r>
          </w:p>
        </w:tc>
        <w:tc>
          <w:p>
            <w:pPr>
              <w:pStyle w:val="Compact"/>
              <w:jc w:val="left"/>
            </w:pPr>
            <w:r>
              <w:t xml:space="preserve">广东凯普</w:t>
            </w:r>
          </w:p>
        </w:tc>
        <w:tc>
          <w:p>
            <w:pPr>
              <w:pStyle w:val="Compact"/>
              <w:jc w:val="left"/>
            </w:pPr>
            <w:r>
              <w:t xml:space="preserve">PCR-荧光探针法</w:t>
            </w:r>
          </w:p>
        </w:tc>
      </w:tr>
    </w:tbl>
    <w:p>
      <w:pPr>
        <w:pStyle w:val="BodyText"/>
      </w:pPr>
      <w:r>
        <w:rPr>
          <w:b/>
        </w:rPr>
        <w:t xml:space="preserve">读法</w:t>
      </w:r>
      <w:r>
        <w:t xml:space="preserve">：科蒂亚是国内</w:t>
      </w:r>
      <w:r>
        <w:rPr>
          <w:b/>
        </w:rPr>
        <w:t xml:space="preserve">唯一以 bDNA 信号扩增法</w:t>
      </w:r>
      <w:r>
        <w:t xml:space="preserve">拿证的厂商（其余为捕获杂交/PCR/熔解曲线），方法学差异化是合规层面的护城河；Hologic APTIMA 是进口对标，但方法学（捕获杂交）不同。竞品分析维度建议另出独立文档。</w:t>
      </w:r>
    </w:p>
    <w:p>
      <w:pPr>
        <w:pStyle w:val="Compact"/>
      </w:pPr>
      <w:r>
        <w:t xml:space="preserve">文档 ID：kodia-bdna-mrna-clinical-trial-report-2026-07-10 · v1.4</w:t>
      </w:r>
    </w:p>
    <w:p>
      <w:pPr>
        <w:pStyle w:val="Compact"/>
      </w:pPr>
      <w:r>
        <w:t xml:space="preserve">数据源：临床试验总结报告正本（方案 MLD-C-19002 V06/2021-04-24，2026-01-20 出具）· 已以文字版 Word 正本校对</w:t>
      </w:r>
    </w:p>
    <w:p>
      <w:pPr>
        <w:pStyle w:val="Compact"/>
      </w:pPr>
      <w:r>
        <w:t xml:space="preserve">下次升级触发：临床证据扩展、疫苗人群上市后数据、或场景边界调整后 → v1.5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b771f52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32cfd0b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7c2d8d0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kodia-bdna-mrna-clinical-trial-report-2026-07-10.docx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kodia-bdna-mrna-clinical-trial-report-2026-07-10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科蒂亚 bDNA 法 HPV E6/E7 mRNA 检测试剂盒临床试验总结报告解读（v1.4）</dc:title>
  <dc:creator/>
  <cp:keywords/>
  <dcterms:created xsi:type="dcterms:W3CDTF">2026-07-10T03:19:07Z</dcterms:created>
  <dcterms:modified xsi:type="dcterms:W3CDTF">2026-07-10T03:19:07Z</dcterms:modified>
</cp:coreProperties>
</file>