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郑州大学</w:t>
      </w:r>
      <w:r>
        <w:t xml:space="preserve"> </w:t>
      </w:r>
      <w:r>
        <w:t xml:space="preserve">×</w:t>
      </w:r>
      <w:r>
        <w:t xml:space="preserve"> </w:t>
      </w:r>
      <w:r>
        <w:t xml:space="preserve">SCIDraw</w:t>
      </w:r>
      <w:r>
        <w:t xml:space="preserve"> </w:t>
      </w:r>
      <w:r>
        <w:t xml:space="preserve">战略合作框架协议（讨论稿）</w:t>
      </w:r>
    </w:p>
    <w:p>
      <w:pPr>
        <w:pStyle w:val="Compact"/>
      </w:pPr>
      <w:r>
        <w:t xml:space="preserve">Word</w:t>
      </w:r>
    </w:p>
    <w:p>
      <w:pPr>
        <w:pStyle w:val="Compact"/>
      </w:pPr>
      <w:r>
        <w:t xml:space="preserve">PDF</w:t>
      </w:r>
    </w:p>
    <w:p>
      <w:pPr>
        <w:pStyle w:val="Compact"/>
      </w:pPr>
      <w:r>
        <w:t xml:space="preserve">战 略 合 作 框 架 协 议 · 讨 论 稿</w:t>
      </w:r>
    </w:p>
    <w:p>
      <w:pPr>
        <w:pStyle w:val="Heading1"/>
      </w:pPr>
      <w:bookmarkStart w:id="21" w:name="郑州大学-scidraw-战略合作框架协议"/>
      <w:r>
        <w:t xml:space="preserve">郑州大学 × SCIDraw</w:t>
      </w:r>
      <w:r>
        <w:br w:type="textWrapping"/>
      </w:r>
      <w:r>
        <w:t xml:space="preserve">战略合作框架协议</w:t>
      </w:r>
      <w:bookmarkEnd w:id="21"/>
    </w:p>
    <w:p>
      <w:pPr>
        <w:pStyle w:val="Compact"/>
      </w:pPr>
      <w:r>
        <w:t xml:space="preserve">共 建 河 南 省 高 校 科 研 绘 图 示 范 中 心</w:t>
      </w:r>
      <w:r>
        <w:br w:type="textWrapping"/>
      </w:r>
      <w:r>
        <w:t xml:space="preserve">发 起 河 南 省 高 校 科 研 绘 图 联 盟</w:t>
      </w:r>
    </w:p>
    <w:p>
      <w:pPr>
        <w:pStyle w:val="Compact"/>
      </w:pPr>
      <w:r>
        <w:t xml:space="preserve">协 议 编 号</w:t>
      </w:r>
    </w:p>
    <w:p>
      <w:pPr>
        <w:pStyle w:val="Compact"/>
      </w:pPr>
      <w:r>
        <w:t xml:space="preserve">SCIDraw-ZZU-S1-2026</w:t>
      </w:r>
    </w:p>
    <w:p>
      <w:pPr>
        <w:pStyle w:val="Compact"/>
      </w:pPr>
      <w:r>
        <w:t xml:space="preserve">签 署 地 点 / 日 期</w:t>
      </w:r>
    </w:p>
    <w:p>
      <w:pPr>
        <w:pStyle w:val="Compact"/>
      </w:pPr>
      <w:r>
        <w:t xml:space="preserve">河南 · 郑州　／　2026 年　　月　　日</w:t>
      </w:r>
    </w:p>
    <w:p>
      <w:pPr>
        <w:pStyle w:val="Compact"/>
      </w:pPr>
      <w:r>
        <w:t xml:space="preserve">国家"十四五"规划明确将"提升科研创新能力、强化科研诚信建设"列为高等教育发展的核心任务；高质量科研绘图作为论文、课题、专利、报奖材料的关键表达载体，已成为科研工作者不可或缺的基础能力。</w:t>
      </w:r>
    </w:p>
    <w:p>
      <w:pPr>
        <w:pStyle w:val="Compact"/>
      </w:pPr>
      <w:r>
        <w:t xml:space="preserve">郑州大学作为国家"双一流"建设高校、河南省龙头综合性大学，长期承担服务中原崛起、引领河南高等教育高质量发展的战略责任，具备牵头搭建全省高校共享型科研支撑平台的资源与号召力。</w:t>
      </w:r>
    </w:p>
    <w:p>
      <w:pPr>
        <w:pStyle w:val="Compact"/>
      </w:pPr>
      <w:r>
        <w:t xml:space="preserve">乙方郑州聚米生物科技有限公司（旗下品牌"SCIDraw"，以下简称"SCIDraw"）是国内领先的"AI + 科研数据处理与绘图"平台运营方，已积累涵盖生物医学、化学化工、材料、计算机、农学等学科逾两万项科研图形资产与 AI 辅助绘图能力，已服务全国逾百家科研机构与高校。</w:t>
      </w:r>
    </w:p>
    <w:p>
      <w:pPr>
        <w:pStyle w:val="Compact"/>
      </w:pPr>
      <w:r>
        <w:t xml:space="preserve">双方本着"优势互补、资源共享、长期共建、互利共赢"之原则，愿以本协议为框架，共同推动郑州大学成为河南省科研绘图能力建设的示范高地，并以此为基础联合发起"河南省高校科研绘图联盟"，将合作成果向全省兄弟院校辐射。</w:t>
      </w:r>
    </w:p>
    <w:p>
      <w:pPr>
        <w:pStyle w:val="BodyText"/>
      </w:pPr>
      <w:r>
        <w:t xml:space="preserve">双方经友好协商，依据《中华人民共和国民法典》及相关法律法规，达成如下战略合作框架协议，共同恪守。</w:t>
      </w:r>
    </w:p>
    <w:p>
      <w:pPr>
        <w:pStyle w:val="Compact"/>
      </w:pPr>
      <w:r>
        <w:t xml:space="preserve">协 议 当 事 人</w:t>
      </w:r>
    </w:p>
    <w:p>
      <w:pPr>
        <w:pStyle w:val="Compact"/>
      </w:pPr>
      <w:r>
        <w:t xml:space="preserve">甲　方：</w:t>
      </w:r>
      <w:r>
        <w:rPr>
          <w:b/>
        </w:rPr>
        <w:t xml:space="preserve">郑州大学</w:t>
      </w:r>
      <w:r>
        <w:t xml:space="preserve"> </w:t>
      </w:r>
      <w:r>
        <w:t xml:space="preserve">乙　方：</w:t>
      </w:r>
      <w:r>
        <w:rPr>
          <w:b/>
        </w:rPr>
        <w:t xml:space="preserve">郑州聚米生物科技有限公司</w:t>
      </w:r>
      <w:r>
        <w:t xml:space="preserve">（旗下品牌 "SCIDraw"）</w:t>
      </w:r>
    </w:p>
    <w:p>
      <w:pPr>
        <w:pStyle w:val="Compact"/>
      </w:pPr>
      <w:r>
        <w:t xml:space="preserve">本协议项下"SCIDraw"均指乙方郑州聚米生物科技有限公司。</w:t>
      </w:r>
    </w:p>
    <w:p>
      <w:pPr>
        <w:pStyle w:val="Heading2"/>
      </w:pPr>
      <w:bookmarkStart w:id="22" w:name="第一章合作宗旨与合作原则"/>
      <w:r>
        <w:t xml:space="preserve">第一章　合作宗旨与合作原则</w:t>
      </w:r>
      <w:bookmarkEnd w:id="22"/>
    </w:p>
    <w:p>
      <w:pPr>
        <w:pStyle w:val="Heading3"/>
      </w:pPr>
      <w:bookmarkStart w:id="23" w:name="第一条合作宗旨"/>
      <w:r>
        <w:t xml:space="preserve">第一条　合作宗旨</w:t>
      </w:r>
      <w:bookmarkEnd w:id="23"/>
    </w:p>
    <w:p>
      <w:pPr>
        <w:pStyle w:val="FirstParagraph"/>
      </w:pPr>
      <w:r>
        <w:t xml:space="preserve">双方致力于以"AI + 科研绘图"技术为支撑，把郑州大学建设成为</w:t>
      </w:r>
      <w:r>
        <w:rPr>
          <w:b/>
        </w:rPr>
        <w:t xml:space="preserve">河南省高校科研绘图示范中心</w:t>
      </w:r>
      <w:r>
        <w:t xml:space="preserve">，为郑大全校师生提供低门槛、高效率、强合规的科研可视化基础设施，进而以郑大为支点，联合省内兄弟院校共建科研绘图能力共享生态，服务河南"创新驱动、科教兴省、人才强省"战略。</w:t>
      </w:r>
    </w:p>
    <w:p>
      <w:pPr>
        <w:pStyle w:val="Heading3"/>
      </w:pPr>
      <w:bookmarkStart w:id="24" w:name="第二条合作原则"/>
      <w:r>
        <w:t xml:space="preserve">第二条　合作原则</w:t>
      </w:r>
      <w:bookmarkEnd w:id="24"/>
    </w:p>
    <w:p>
      <w:pPr>
        <w:pStyle w:val="Compact"/>
        <w:numPr>
          <w:numId w:val="1001"/>
          <w:ilvl w:val="0"/>
        </w:numPr>
      </w:pPr>
      <w:r>
        <w:rPr>
          <w:b/>
        </w:rPr>
        <w:t xml:space="preserve">优势互补</w:t>
      </w:r>
      <w:r>
        <w:t xml:space="preserve">：郑大提供学科场景、师生用户与省内辐射能力，SCIDraw 提供平台技术与运营经验。</w:t>
      </w:r>
    </w:p>
    <w:p>
      <w:pPr>
        <w:pStyle w:val="Compact"/>
        <w:numPr>
          <w:numId w:val="1001"/>
          <w:ilvl w:val="0"/>
        </w:numPr>
      </w:pPr>
      <w:r>
        <w:rPr>
          <w:b/>
        </w:rPr>
        <w:t xml:space="preserve">数据自主</w:t>
      </w:r>
      <w:r>
        <w:t xml:space="preserve">：私有化部署模式下，全部用户数据、绘图作品、教学资料留存校内服务器，数据主权完整归属郑大。</w:t>
      </w:r>
    </w:p>
    <w:p>
      <w:pPr>
        <w:pStyle w:val="Compact"/>
        <w:numPr>
          <w:numId w:val="1001"/>
          <w:ilvl w:val="0"/>
        </w:numPr>
      </w:pPr>
      <w:r>
        <w:rPr>
          <w:b/>
        </w:rPr>
        <w:t xml:space="preserve">长期主义</w:t>
      </w:r>
      <w:r>
        <w:t xml:space="preserve">：合作不以短期利润最大化为目标，而以"持续培育河南高校科研绘图能力"为共同使命。</w:t>
      </w:r>
    </w:p>
    <w:p>
      <w:pPr>
        <w:pStyle w:val="Compact"/>
        <w:numPr>
          <w:numId w:val="1001"/>
          <w:ilvl w:val="0"/>
        </w:numPr>
      </w:pPr>
      <w:r>
        <w:rPr>
          <w:b/>
        </w:rPr>
        <w:t xml:space="preserve">互利共赢</w:t>
      </w:r>
      <w:r>
        <w:t xml:space="preserve">：商务条款设计兼顾郑大预算可控与 SCIDraw 可持续投入，确保合作长期稳定。</w:t>
      </w:r>
    </w:p>
    <w:p>
      <w:pPr>
        <w:pStyle w:val="Compact"/>
        <w:numPr>
          <w:numId w:val="1001"/>
          <w:ilvl w:val="0"/>
        </w:numPr>
      </w:pPr>
      <w:r>
        <w:rPr>
          <w:b/>
        </w:rPr>
        <w:t xml:space="preserve">开放辐射</w:t>
      </w:r>
      <w:r>
        <w:t xml:space="preserve">：合作成果在合适时机以联盟形式向河南全省高校开放，避免重复建设。</w:t>
      </w:r>
    </w:p>
    <w:p>
      <w:pPr>
        <w:pStyle w:val="Heading2"/>
      </w:pPr>
      <w:bookmarkStart w:id="25" w:name="第二章合作范围与产品形态"/>
      <w:r>
        <w:t xml:space="preserve">第二章　合作范围与产品形态</w:t>
      </w:r>
      <w:bookmarkEnd w:id="25"/>
    </w:p>
    <w:p>
      <w:pPr>
        <w:pStyle w:val="Heading3"/>
      </w:pPr>
      <w:bookmarkStart w:id="26" w:name="第三条合作产品"/>
      <w:r>
        <w:t xml:space="preserve">第三条　合作产品</w:t>
      </w:r>
      <w:bookmarkEnd w:id="26"/>
    </w:p>
    <w:p>
      <w:pPr>
        <w:pStyle w:val="FirstParagraph"/>
      </w:pPr>
      <w:r>
        <w:t xml:space="preserve">本协议项下合作产品统一对外名称为：</w:t>
      </w:r>
      <w:r>
        <w:br w:type="textWrapping"/>
      </w:r>
      <w:r>
        <w:rPr>
          <w:b/>
        </w:rPr>
        <w:t xml:space="preserve">「AI + 科研数据处理绘图平台」（以下简称"本平台"）</w:t>
      </w:r>
    </w:p>
    <w:p>
      <w:pPr>
        <w:pStyle w:val="BodyText"/>
      </w:pPr>
      <w:r>
        <w:t xml:space="preserve">本平台核心能力包含但不限于：</w:t>
      </w:r>
    </w:p>
    <w:p>
      <w:pPr>
        <w:pStyle w:val="Compact"/>
        <w:numPr>
          <w:numId w:val="1002"/>
          <w:ilvl w:val="0"/>
        </w:numPr>
      </w:pPr>
      <w:r>
        <w:rPr>
          <w:b/>
        </w:rPr>
        <w:t xml:space="preserve">AI 辅助绘图引擎</w:t>
      </w:r>
      <w:r>
        <w:t xml:space="preserve">：自然语言生成矢量科研图形，覆盖生物医学、化学、材料、农学等学科逾两万项图形资产；</w:t>
      </w:r>
    </w:p>
    <w:p>
      <w:pPr>
        <w:pStyle w:val="Compact"/>
        <w:numPr>
          <w:numId w:val="1002"/>
          <w:ilvl w:val="0"/>
        </w:numPr>
      </w:pPr>
      <w:r>
        <w:rPr>
          <w:b/>
        </w:rPr>
        <w:t xml:space="preserve">科研数据处理与可视化</w:t>
      </w:r>
      <w:r>
        <w:t xml:space="preserve">：支持实验数据导入、统计图表自动生成、SMILES 化学结构、LaTeX 公式渲染；</w:t>
      </w:r>
    </w:p>
    <w:p>
      <w:pPr>
        <w:pStyle w:val="Compact"/>
        <w:numPr>
          <w:numId w:val="1002"/>
          <w:ilvl w:val="0"/>
        </w:numPr>
      </w:pPr>
      <w:r>
        <w:rPr>
          <w:b/>
        </w:rPr>
        <w:t xml:space="preserve">模板与图例库</w:t>
      </w:r>
      <w:r>
        <w:t xml:space="preserve">：提供符合 SCI 期刊规范的成套模板与可复用图例；</w:t>
      </w:r>
    </w:p>
    <w:p>
      <w:pPr>
        <w:pStyle w:val="Compact"/>
        <w:numPr>
          <w:numId w:val="1002"/>
          <w:ilvl w:val="0"/>
        </w:numPr>
      </w:pPr>
      <w:r>
        <w:rPr>
          <w:b/>
        </w:rPr>
        <w:t xml:space="preserve">团队协作与权限管理</w:t>
      </w:r>
      <w:r>
        <w:t xml:space="preserve">：支持课题组、学院、实验室多级组织架构与细粒度权限；</w:t>
      </w:r>
    </w:p>
    <w:p>
      <w:pPr>
        <w:pStyle w:val="Compact"/>
        <w:numPr>
          <w:numId w:val="1002"/>
          <w:ilvl w:val="0"/>
        </w:numPr>
      </w:pPr>
      <w:r>
        <w:rPr>
          <w:b/>
        </w:rPr>
        <w:t xml:space="preserve">合规与数字版权</w:t>
      </w:r>
      <w:r>
        <w:t xml:space="preserve">：内置学术规范审查、防篡改导出、可选数字版权登记接口。</w:t>
      </w:r>
    </w:p>
    <w:p>
      <w:pPr>
        <w:pStyle w:val="Heading3"/>
      </w:pPr>
      <w:bookmarkStart w:id="27" w:name="第四条部署形态"/>
      <w:r>
        <w:t xml:space="preserve">第四条　部署形态</w:t>
      </w:r>
      <w:bookmarkEnd w:id="27"/>
    </w:p>
    <w:p>
      <w:pPr>
        <w:pStyle w:val="FirstParagraph"/>
      </w:pPr>
      <w:r>
        <w:t xml:space="preserve">本平台采用</w:t>
      </w:r>
      <w:r>
        <w:rPr>
          <w:b/>
        </w:rPr>
        <w:t xml:space="preserve">纯私有化部署</w:t>
      </w:r>
      <w:r>
        <w:t xml:space="preserve">模式，全部组件安装于郑大校内服务器或郑大指定云资源内，</w:t>
      </w:r>
      <w:r>
        <w:rPr>
          <w:b/>
        </w:rPr>
        <w:t xml:space="preserve">不依赖任何外部公网调用，不在 SCIDraw 侧留存郑大师生任何用户数据</w:t>
      </w:r>
      <w:r>
        <w:t xml:space="preserve">。</w:t>
      </w:r>
    </w:p>
    <w:p>
      <w:pPr>
        <w:pStyle w:val="Heading3"/>
      </w:pPr>
      <w:bookmarkStart w:id="28" w:name="第五条硬件配置清单郑大自备或委托-scidraw-代采"/>
      <w:r>
        <w:t xml:space="preserve">第五条　硬件配置清单（郑大自备或委托 SCIDraw 代采）</w:t>
      </w:r>
      <w:bookmarkEnd w:id="28"/>
    </w:p>
    <w:p>
      <w:pPr>
        <w:pStyle w:val="FirstParagraph"/>
      </w:pPr>
      <w:r>
        <w:t xml:space="preserve">以合作首期</w:t>
      </w:r>
      <w:r>
        <w:t xml:space="preserve"> </w:t>
      </w:r>
      <w:r>
        <w:rPr>
          <w:b/>
        </w:rPr>
        <w:t xml:space="preserve">200 个并发授权端口</w:t>
      </w:r>
      <w:r>
        <w:t xml:space="preserve">为基准测算，提供如下三档配置方案供郑大参考，最终配置以双方书面确认为准：</w:t>
      </w:r>
    </w:p>
    <w:tbl>
      <w:tblPr>
        <w:tblStyle w:val="Table"/>
        <w:tblW w:type="pct" w:w="0.0"/>
        <w:tblLook w:firstRow="1"/>
      </w:tblPr>
      <w:tblGrid/>
      <w:tr>
        <w:trPr>
          <w:cnfStyle w:firstRow="1"/>
        </w:trPr>
        <w:tc>
          <w:tcPr>
            <w:tcBorders>
              <w:bottom w:val="single"/>
            </w:tcBorders>
            <w:vAlign w:val="bottom"/>
          </w:tcPr>
          <w:p>
            <w:pPr>
              <w:pStyle w:val="Compact"/>
              <w:jc w:val="left"/>
            </w:pPr>
            <w:r>
              <w:t xml:space="preserve">档位</w:t>
            </w:r>
          </w:p>
        </w:tc>
        <w:tc>
          <w:tcPr>
            <w:tcBorders>
              <w:bottom w:val="single"/>
            </w:tcBorders>
            <w:vAlign w:val="bottom"/>
          </w:tcPr>
          <w:p>
            <w:pPr>
              <w:pStyle w:val="Compact"/>
              <w:jc w:val="left"/>
            </w:pPr>
            <w:r>
              <w:t xml:space="preserve">适用规模</w:t>
            </w:r>
          </w:p>
        </w:tc>
        <w:tc>
          <w:tcPr>
            <w:tcBorders>
              <w:bottom w:val="single"/>
            </w:tcBorders>
            <w:vAlign w:val="bottom"/>
          </w:tcPr>
          <w:p>
            <w:pPr>
              <w:pStyle w:val="Compact"/>
              <w:jc w:val="left"/>
            </w:pPr>
            <w:r>
              <w:t xml:space="preserve">推荐配置</w:t>
            </w:r>
          </w:p>
        </w:tc>
        <w:tc>
          <w:tcPr>
            <w:tcBorders>
              <w:bottom w:val="single"/>
            </w:tcBorders>
            <w:vAlign w:val="bottom"/>
          </w:tcPr>
          <w:p>
            <w:pPr>
              <w:pStyle w:val="Compact"/>
              <w:jc w:val="left"/>
            </w:pPr>
            <w:r>
              <w:t xml:space="preserve">说明</w:t>
            </w:r>
          </w:p>
        </w:tc>
      </w:tr>
      <w:tr>
        <w:tc>
          <w:p>
            <w:pPr>
              <w:pStyle w:val="Compact"/>
              <w:jc w:val="left"/>
            </w:pPr>
            <w:r>
              <w:t xml:space="preserve">基 础 档</w:t>
            </w:r>
          </w:p>
        </w:tc>
        <w:tc>
          <w:p>
            <w:pPr>
              <w:pStyle w:val="Compact"/>
              <w:jc w:val="left"/>
            </w:pPr>
            <w:r>
              <w:t xml:space="preserve">200 端口</w:t>
            </w:r>
            <w:r>
              <w:br w:type="textWrapping"/>
            </w:r>
            <w:r>
              <w:t xml:space="preserve">≤30 人并发</w:t>
            </w:r>
          </w:p>
        </w:tc>
        <w:tc>
          <w:p>
            <w:pPr>
              <w:pStyle w:val="Compact"/>
              <w:jc w:val="left"/>
            </w:pPr>
            <w:r>
              <w:rPr>
                <w:b/>
              </w:rPr>
              <w:t xml:space="preserve">单机部署</w:t>
            </w:r>
            <w:r>
              <w:t xml:space="preserve">　1 台服务器</w:t>
            </w:r>
            <w:r>
              <w:t xml:space="preserve"> </w:t>
            </w:r>
            <w:r>
              <w:t xml:space="preserve">CPU 16 核 / 内存 32 GB / 系统盘 200 GB SSD / 数据盘 1 TB SSD</w:t>
            </w:r>
            <w:r>
              <w:t xml:space="preserve"> </w:t>
            </w:r>
            <w:r>
              <w:t xml:space="preserve">操作系统：Ubuntu 22.04 LTS 或 CentOS 7.9</w:t>
            </w:r>
            <w:r>
              <w:t xml:space="preserve"> </w:t>
            </w:r>
            <w:r>
              <w:t xml:space="preserve">无独立 GPU（AI 能力走 CPU 推理，速度受限）</w:t>
            </w:r>
          </w:p>
        </w:tc>
        <w:tc>
          <w:p>
            <w:pPr>
              <w:pStyle w:val="Compact"/>
              <w:jc w:val="left"/>
            </w:pPr>
            <w:r>
              <w:t xml:space="preserve">最小可用</w:t>
            </w:r>
            <w:r>
              <w:br w:type="textWrapping"/>
            </w:r>
            <w:r>
              <w:t xml:space="preserve">起步成本最低</w:t>
            </w:r>
          </w:p>
        </w:tc>
      </w:tr>
      <w:tr>
        <w:tc>
          <w:p>
            <w:pPr>
              <w:pStyle w:val="Compact"/>
              <w:jc w:val="left"/>
            </w:pPr>
            <w:r>
              <w:t xml:space="preserve">推 荐 档</w:t>
            </w:r>
          </w:p>
        </w:tc>
        <w:tc>
          <w:p>
            <w:pPr>
              <w:pStyle w:val="Compact"/>
              <w:jc w:val="left"/>
            </w:pPr>
            <w:r>
              <w:t xml:space="preserve">200 端口</w:t>
            </w:r>
            <w:r>
              <w:br w:type="textWrapping"/>
            </w:r>
            <w:r>
              <w:t xml:space="preserve">30–80 人并发</w:t>
            </w:r>
            <w:r>
              <w:br w:type="textWrapping"/>
            </w:r>
            <w:r>
              <w:t xml:space="preserve">含 AI 生图</w:t>
            </w:r>
          </w:p>
        </w:tc>
        <w:tc>
          <w:p>
            <w:pPr>
              <w:pStyle w:val="Compact"/>
              <w:jc w:val="left"/>
            </w:pPr>
            <w:r>
              <w:rPr>
                <w:b/>
              </w:rPr>
              <w:t xml:space="preserve">应用 + 数据库 + GPU 三件套</w:t>
            </w:r>
            <w:r>
              <w:t xml:space="preserve"> </w:t>
            </w:r>
            <w:r>
              <w:t xml:space="preserve">应用服务器 1 台：CPU 16 核 / 内存 32 GB / SSD 500 GB</w:t>
            </w:r>
            <w:r>
              <w:t xml:space="preserve"> </w:t>
            </w:r>
            <w:r>
              <w:t xml:space="preserve">数据库服务器 1 台：CPU 16 核 / 内存 64 GB / SSD 1 TB（含主从）</w:t>
            </w:r>
            <w:r>
              <w:t xml:space="preserve"> </w:t>
            </w:r>
            <w:r>
              <w:t xml:space="preserve">GPU 卡 1 张：NVIDIA A10 24 GB 或 RTX 4090 24 GB（AI 生图与图标识别加速）</w:t>
            </w:r>
            <w:r>
              <w:t xml:space="preserve"> </w:t>
            </w:r>
            <w:r>
              <w:t xml:space="preserve">备份存储：1 TB NAS 或对象存储</w:t>
            </w:r>
          </w:p>
        </w:tc>
        <w:tc>
          <w:p>
            <w:pPr>
              <w:pStyle w:val="Compact"/>
              <w:jc w:val="left"/>
            </w:pPr>
            <w:r>
              <w:t xml:space="preserve">性价比最优</w:t>
            </w:r>
            <w:r>
              <w:br w:type="textWrapping"/>
            </w:r>
            <w:r>
              <w:t xml:space="preserve">建议首选</w:t>
            </w:r>
          </w:p>
        </w:tc>
      </w:tr>
      <w:tr>
        <w:tc>
          <w:p>
            <w:pPr>
              <w:pStyle w:val="Compact"/>
              <w:jc w:val="left"/>
            </w:pPr>
            <w:r>
              <w:t xml:space="preserve">增 强 档</w:t>
            </w:r>
          </w:p>
        </w:tc>
        <w:tc>
          <w:p>
            <w:pPr>
              <w:pStyle w:val="Compact"/>
              <w:jc w:val="left"/>
            </w:pPr>
            <w:r>
              <w:t xml:space="preserve">扩容至 500+ 端口</w:t>
            </w:r>
            <w:r>
              <w:br w:type="textWrapping"/>
            </w:r>
            <w:r>
              <w:t xml:space="preserve">高可用 / 多院区</w:t>
            </w:r>
          </w:p>
        </w:tc>
        <w:tc>
          <w:p>
            <w:pPr>
              <w:pStyle w:val="Compact"/>
              <w:jc w:val="left"/>
            </w:pPr>
            <w:r>
              <w:rPr>
                <w:b/>
              </w:rPr>
              <w:t xml:space="preserve">集群化高可用</w:t>
            </w:r>
            <w:r>
              <w:t xml:space="preserve"> </w:t>
            </w:r>
            <w:r>
              <w:t xml:space="preserve">应用节点 ×2（负载均衡，可横向扩展）</w:t>
            </w:r>
            <w:r>
              <w:t xml:space="preserve"> </w:t>
            </w:r>
            <w:r>
              <w:t xml:space="preserve">数据库主从 + Redis 哨兵集群</w:t>
            </w:r>
            <w:r>
              <w:t xml:space="preserve"> </w:t>
            </w:r>
            <w:r>
              <w:t xml:space="preserve">GPU 卡 ×2（A10 或 L40S）</w:t>
            </w:r>
            <w:r>
              <w:t xml:space="preserve"> </w:t>
            </w:r>
            <w:r>
              <w:t xml:space="preserve">异地容灾备份：异地 NAS 或云对象存储</w:t>
            </w:r>
            <w:r>
              <w:t xml:space="preserve"> </w:t>
            </w:r>
            <w:r>
              <w:t xml:space="preserve">千兆校内网，可选万兆主干</w:t>
            </w:r>
          </w:p>
        </w:tc>
        <w:tc>
          <w:p>
            <w:pPr>
              <w:pStyle w:val="Compact"/>
              <w:jc w:val="left"/>
            </w:pPr>
            <w:r>
              <w:t xml:space="preserve">面向联盟扩容</w:t>
            </w:r>
            <w:r>
              <w:br w:type="textWrapping"/>
            </w:r>
            <w:r>
              <w:t xml:space="preserve">预留升级路径</w:t>
            </w:r>
          </w:p>
        </w:tc>
      </w:tr>
    </w:tbl>
    <w:p>
      <w:pPr>
        <w:pStyle w:val="Compact"/>
      </w:pPr>
      <w:r>
        <w:t xml:space="preserve">配 置 说 明</w:t>
      </w:r>
    </w:p>
    <w:p>
      <w:pPr>
        <w:pStyle w:val="BodyText"/>
      </w:pPr>
      <w:r>
        <w:t xml:space="preserve">1. 上述配置为 SCIDraw 基于 200 端口、按 15%–40% 在线率测算的工程建议值，实际采购数量与规格以郑大信息化建设规划为准；</w:t>
      </w:r>
    </w:p>
    <w:p>
      <w:pPr>
        <w:pStyle w:val="BodyText"/>
      </w:pPr>
      <w:r>
        <w:t xml:space="preserve">2. 郑大既有服务器若已满足上述指标，可优先利旧使用，无需重新采购；</w:t>
      </w:r>
    </w:p>
    <w:p>
      <w:pPr>
        <w:pStyle w:val="BodyText"/>
      </w:pPr>
      <w:r>
        <w:t xml:space="preserve">3. SCIDraw 可提供硬件代采服务（含品牌推荐、招标参数、验货支持），相关费用据实结算，不加价。</w:t>
      </w:r>
    </w:p>
    <w:p>
      <w:pPr>
        <w:pStyle w:val="Heading3"/>
      </w:pPr>
      <w:bookmarkStart w:id="29" w:name="第六条网络与安全要求"/>
      <w:r>
        <w:t xml:space="preserve">第六条　网络与安全要求</w:t>
      </w:r>
      <w:bookmarkEnd w:id="29"/>
    </w:p>
    <w:p>
      <w:pPr>
        <w:pStyle w:val="Compact"/>
        <w:numPr>
          <w:numId w:val="1003"/>
          <w:ilvl w:val="0"/>
        </w:numPr>
      </w:pPr>
      <w:r>
        <w:t xml:space="preserve">服务器部署于郑大校内机房或郑大专属私有云，网络环境与公网</w:t>
      </w:r>
      <w:r>
        <w:rPr>
          <w:b/>
        </w:rPr>
        <w:t xml:space="preserve">逻辑隔离</w:t>
      </w:r>
      <w:r>
        <w:t xml:space="preserve">；</w:t>
      </w:r>
    </w:p>
    <w:p>
      <w:pPr>
        <w:pStyle w:val="Compact"/>
        <w:numPr>
          <w:numId w:val="1003"/>
          <w:ilvl w:val="0"/>
        </w:numPr>
      </w:pPr>
      <w:r>
        <w:t xml:space="preserve">对外访问通过郑大统一身份认证（CAS / OAuth2.0）接入，支持与校内信息门户单点登录；</w:t>
      </w:r>
    </w:p>
    <w:p>
      <w:pPr>
        <w:pStyle w:val="Compact"/>
        <w:numPr>
          <w:numId w:val="1003"/>
          <w:ilvl w:val="0"/>
        </w:numPr>
      </w:pPr>
      <w:r>
        <w:t xml:space="preserve">平台运行所需之 AI 模型、图形资产、模板库，由 SCIDraw 以</w:t>
      </w:r>
      <w:r>
        <w:rPr>
          <w:b/>
        </w:rPr>
        <w:t xml:space="preserve">离线安装包</w:t>
      </w:r>
      <w:r>
        <w:t xml:space="preserve">形式一次性交付，运行过程中</w:t>
      </w:r>
      <w:r>
        <w:rPr>
          <w:b/>
        </w:rPr>
        <w:t xml:space="preserve">不向 SCIDraw 回传任何业务数据</w:t>
      </w:r>
      <w:r>
        <w:t xml:space="preserve">；</w:t>
      </w:r>
    </w:p>
    <w:p>
      <w:pPr>
        <w:pStyle w:val="Compact"/>
        <w:numPr>
          <w:numId w:val="1003"/>
          <w:ilvl w:val="0"/>
        </w:numPr>
      </w:pPr>
      <w:r>
        <w:t xml:space="preserve">SCIDraw 仅在郑大明确书面授权后，通过 VPN 跳板机提供远程运维支持，操作全程可审计。</w:t>
      </w:r>
    </w:p>
    <w:p>
      <w:pPr>
        <w:pStyle w:val="Heading2"/>
      </w:pPr>
      <w:bookmarkStart w:id="30" w:name="第三章合作模式双方案备选"/>
      <w:r>
        <w:t xml:space="preserve">第三章　合作模式（双方案备选）</w:t>
      </w:r>
      <w:bookmarkEnd w:id="30"/>
    </w:p>
    <w:p>
      <w:pPr>
        <w:pStyle w:val="FirstParagraph"/>
      </w:pPr>
      <w:r>
        <w:t xml:space="preserve">双方一致同意，本协议项下合作采取如下</w:t>
      </w:r>
      <w:r>
        <w:rPr>
          <w:b/>
        </w:rPr>
        <w:t xml:space="preserve">二选一</w:t>
      </w:r>
      <w:r>
        <w:t xml:space="preserve">商务模式。最终采用方案以双方书面签署的《商务条款确认书》为准。</w:t>
      </w:r>
    </w:p>
    <w:p>
      <w:pPr>
        <w:pStyle w:val="Compact"/>
      </w:pPr>
      <w:r>
        <w:t xml:space="preserve">方 案 甲</w:t>
      </w:r>
    </w:p>
    <w:p>
      <w:pPr>
        <w:pStyle w:val="Heading4"/>
      </w:pPr>
      <w:bookmarkStart w:id="31" w:name="一次性授权买断"/>
      <w:r>
        <w:t xml:space="preserve">一次性授权买断</w:t>
      </w:r>
      <w:bookmarkEnd w:id="31"/>
    </w:p>
    <w:p>
      <w:pPr>
        <w:pStyle w:val="Compact"/>
      </w:pPr>
      <w:r>
        <w:t xml:space="preserve">首年战略合作特惠授权费</w:t>
      </w:r>
      <w:r>
        <w:br w:type="textWrapping"/>
      </w:r>
      <w:r>
        <w:rPr>
          <w:b/>
        </w:rPr>
        <w:t xml:space="preserve">￥ 6,000</w:t>
      </w:r>
      <w:r>
        <w:t xml:space="preserve"> </w:t>
      </w:r>
      <w:r>
        <w:t xml:space="preserve">/ 首年</w:t>
      </w:r>
    </w:p>
    <w:p>
      <w:pPr>
        <w:pStyle w:val="Compact"/>
        <w:numPr>
          <w:numId w:val="1004"/>
          <w:ilvl w:val="0"/>
        </w:numPr>
      </w:pPr>
      <w:r>
        <w:rPr>
          <w:b/>
        </w:rPr>
        <w:t xml:space="preserve">授权账号数</w:t>
      </w:r>
      <w:r>
        <w:t xml:space="preserve">：200 个授权账号（可分配给师生）</w:t>
      </w:r>
    </w:p>
    <w:p>
      <w:pPr>
        <w:pStyle w:val="Compact"/>
        <w:numPr>
          <w:numId w:val="1004"/>
          <w:ilvl w:val="0"/>
        </w:numPr>
      </w:pPr>
      <w:r>
        <w:rPr>
          <w:b/>
        </w:rPr>
        <w:t xml:space="preserve">同时在线上限</w:t>
      </w:r>
      <w:r>
        <w:t xml:space="preserve">：50 人并发在线（满足日常教学科研场景；超出将触发排队）</w:t>
      </w:r>
    </w:p>
    <w:p>
      <w:pPr>
        <w:pStyle w:val="Compact"/>
        <w:numPr>
          <w:numId w:val="1004"/>
          <w:ilvl w:val="0"/>
        </w:numPr>
      </w:pPr>
      <w:r>
        <w:rPr>
          <w:b/>
        </w:rPr>
        <w:t xml:space="preserve">授权期限</w:t>
      </w:r>
      <w:r>
        <w:t xml:space="preserve">：1 年（自平台正式上线之日起算）</w:t>
      </w:r>
    </w:p>
    <w:p>
      <w:pPr>
        <w:pStyle w:val="Compact"/>
        <w:numPr>
          <w:numId w:val="1004"/>
          <w:ilvl w:val="0"/>
        </w:numPr>
      </w:pPr>
      <w:r>
        <w:rPr>
          <w:b/>
        </w:rPr>
        <w:t xml:space="preserve">交付物</w:t>
      </w:r>
      <w:r>
        <w:t xml:space="preserve">：私有化部署安装包 + 部署文档 + 培训 1 次</w:t>
      </w:r>
    </w:p>
    <w:p>
      <w:pPr>
        <w:pStyle w:val="Compact"/>
        <w:numPr>
          <w:numId w:val="1004"/>
          <w:ilvl w:val="0"/>
        </w:numPr>
      </w:pPr>
      <w:r>
        <w:rPr>
          <w:b/>
        </w:rPr>
        <w:t xml:space="preserve">首年特惠说明</w:t>
      </w:r>
      <w:r>
        <w:t xml:space="preserve">：本价格为基于战略合作让利之特惠价；市场同等规模私有化部署授权费约为 6 万–12 万元/年，</w:t>
      </w:r>
      <w:r>
        <w:rPr>
          <w:b/>
        </w:rPr>
        <w:t xml:space="preserve">仅适用于本协议项下郑大首发合作首年</w:t>
      </w:r>
      <w:r>
        <w:t xml:space="preserve">，不构成对其他客户或其他年度的报价参考</w:t>
      </w:r>
    </w:p>
    <w:p>
      <w:pPr>
        <w:pStyle w:val="Compact"/>
        <w:numPr>
          <w:numId w:val="1004"/>
          <w:ilvl w:val="0"/>
        </w:numPr>
      </w:pPr>
      <w:r>
        <w:rPr>
          <w:b/>
        </w:rPr>
        <w:t xml:space="preserve">次年续约</w:t>
      </w:r>
      <w:r>
        <w:t xml:space="preserve">：原则上</w:t>
      </w:r>
      <w:r>
        <w:rPr>
          <w:b/>
        </w:rPr>
        <w:t xml:space="preserve">不高于首年价</w:t>
      </w:r>
      <w:r>
        <w:t xml:space="preserve">；具体优惠续约方案由双方在首年到期前 60 日内另行协商，签订《续约确认书》</w:t>
      </w:r>
    </w:p>
    <w:p>
      <w:pPr>
        <w:pStyle w:val="Compact"/>
        <w:numPr>
          <w:numId w:val="1004"/>
          <w:ilvl w:val="0"/>
        </w:numPr>
      </w:pPr>
      <w:r>
        <w:rPr>
          <w:b/>
        </w:rPr>
        <w:t xml:space="preserve">扩容机制</w:t>
      </w:r>
      <w:r>
        <w:t xml:space="preserve">：账号数与并发数为两条独立扩容线，可单独或组合增购（详见下方）</w:t>
      </w:r>
    </w:p>
    <w:p>
      <w:pPr>
        <w:pStyle w:val="Compact"/>
        <w:numPr>
          <w:numId w:val="1004"/>
          <w:ilvl w:val="0"/>
        </w:numPr>
      </w:pPr>
      <w:r>
        <w:rPr>
          <w:b/>
        </w:rPr>
        <w:t xml:space="preserve">增值服务（可选）</w:t>
      </w:r>
      <w:r>
        <w:t xml:space="preserve">：现场培训、定制模板开发、专属运维按需报价</w:t>
      </w:r>
    </w:p>
    <w:p>
      <w:pPr>
        <w:pStyle w:val="Compact"/>
      </w:pPr>
      <w:r>
        <w:t xml:space="preserve">方 案 乙</w:t>
      </w:r>
    </w:p>
    <w:p>
      <w:pPr>
        <w:pStyle w:val="Heading4"/>
      </w:pPr>
      <w:bookmarkStart w:id="32" w:name="免费部署-营收分成"/>
      <w:r>
        <w:t xml:space="preserve">免费部署 + 营收分成</w:t>
      </w:r>
      <w:bookmarkEnd w:id="32"/>
    </w:p>
    <w:p>
      <w:pPr>
        <w:pStyle w:val="Compact"/>
      </w:pPr>
      <w:r>
        <w:t xml:space="preserve">郑大零预付接入</w:t>
      </w:r>
      <w:r>
        <w:br w:type="textWrapping"/>
      </w:r>
      <w:r>
        <w:rPr>
          <w:b/>
        </w:rPr>
        <w:t xml:space="preserve">50 %</w:t>
      </w:r>
      <w:r>
        <w:t xml:space="preserve"> </w:t>
      </w:r>
      <w:r>
        <w:t xml:space="preserve">运营分成归 SCIDraw</w:t>
      </w:r>
    </w:p>
    <w:p>
      <w:pPr>
        <w:pStyle w:val="Compact"/>
        <w:numPr>
          <w:numId w:val="1005"/>
          <w:ilvl w:val="0"/>
        </w:numPr>
      </w:pPr>
      <w:r>
        <w:rPr>
          <w:b/>
        </w:rPr>
        <w:t xml:space="preserve">初始部署</w:t>
      </w:r>
      <w:r>
        <w:t xml:space="preserve">：SCIDraw 免费提供私有化部署与首年基础运维</w:t>
      </w:r>
    </w:p>
    <w:p>
      <w:pPr>
        <w:pStyle w:val="Compact"/>
        <w:numPr>
          <w:numId w:val="1005"/>
          <w:ilvl w:val="0"/>
        </w:numPr>
      </w:pPr>
      <w:r>
        <w:rPr>
          <w:b/>
        </w:rPr>
        <w:t xml:space="preserve">授权端口数</w:t>
      </w:r>
      <w:r>
        <w:t xml:space="preserve">：不设上限，按实际使用结算</w:t>
      </w:r>
    </w:p>
    <w:p>
      <w:pPr>
        <w:pStyle w:val="Compact"/>
        <w:numPr>
          <w:numId w:val="1005"/>
          <w:ilvl w:val="0"/>
        </w:numPr>
      </w:pPr>
      <w:r>
        <w:rPr>
          <w:b/>
        </w:rPr>
        <w:t xml:space="preserve">分成机制</w:t>
      </w:r>
      <w:r>
        <w:t xml:space="preserve">：郑大本平台运营收入（含向院系/课题组/师生个人收取的订阅费、培训费、增值服务费等）的</w:t>
      </w:r>
      <w:r>
        <w:t xml:space="preserve"> </w:t>
      </w:r>
      <w:r>
        <w:rPr>
          <w:b/>
        </w:rPr>
        <w:t xml:space="preserve">50% 归 SCIDraw</w:t>
      </w:r>
      <w:r>
        <w:t xml:space="preserve">，剩余 50% 归郑大</w:t>
      </w:r>
    </w:p>
    <w:p>
      <w:pPr>
        <w:pStyle w:val="Compact"/>
        <w:numPr>
          <w:numId w:val="1005"/>
          <w:ilvl w:val="0"/>
        </w:numPr>
      </w:pPr>
      <w:r>
        <w:rPr>
          <w:b/>
        </w:rPr>
        <w:t xml:space="preserve">结算周期</w:t>
      </w:r>
      <w:r>
        <w:t xml:space="preserve">：季度对账，次季首月 15 个工作日内完成清算</w:t>
      </w:r>
    </w:p>
    <w:p>
      <w:pPr>
        <w:pStyle w:val="Compact"/>
        <w:numPr>
          <w:numId w:val="1005"/>
          <w:ilvl w:val="0"/>
        </w:numPr>
      </w:pPr>
      <w:r>
        <w:rPr>
          <w:b/>
        </w:rPr>
        <w:t xml:space="preserve">保底条款</w:t>
      </w:r>
      <w:r>
        <w:t xml:space="preserve">：连续两个季度运营收入为 0 的，双方另行协商是否转为方案甲</w:t>
      </w:r>
    </w:p>
    <w:p>
      <w:pPr>
        <w:pStyle w:val="Compact"/>
        <w:numPr>
          <w:numId w:val="1005"/>
          <w:ilvl w:val="0"/>
        </w:numPr>
      </w:pPr>
      <w:r>
        <w:rPr>
          <w:b/>
        </w:rPr>
        <w:t xml:space="preserve">定价权</w:t>
      </w:r>
      <w:r>
        <w:t xml:space="preserve">：郑大对内对外定价权归郑大，但</w:t>
      </w:r>
      <w:r>
        <w:rPr>
          <w:b/>
        </w:rPr>
        <w:t xml:space="preserve">不得低于 SCIDraw 公开市场价的 50%</w:t>
      </w:r>
      <w:r>
        <w:t xml:space="preserve">（避免低价倾销冲击市场）</w:t>
      </w:r>
    </w:p>
    <w:p>
      <w:pPr>
        <w:pStyle w:val="Compact"/>
        <w:numPr>
          <w:numId w:val="1005"/>
          <w:ilvl w:val="0"/>
        </w:numPr>
      </w:pPr>
      <w:r>
        <w:rPr>
          <w:b/>
        </w:rPr>
        <w:t xml:space="preserve">审计权</w:t>
      </w:r>
      <w:r>
        <w:t xml:space="preserve">：SCIDraw 享有对运营收入的查阅审计权，每年 ≤ 1 次</w:t>
      </w:r>
    </w:p>
    <w:p>
      <w:pPr>
        <w:pStyle w:val="Heading3"/>
      </w:pPr>
      <w:bookmarkStart w:id="33" w:name="第六条之二扩容机制仅适用方案甲仅限首年"/>
      <w:r>
        <w:t xml:space="preserve">第六条之二　扩容机制（仅适用方案甲，仅限首年）</w:t>
      </w:r>
      <w:bookmarkEnd w:id="33"/>
    </w:p>
    <w:p>
      <w:pPr>
        <w:pStyle w:val="FirstParagraph"/>
      </w:pPr>
      <w:r>
        <w:t xml:space="preserve">双方一致同意，扩容按"</w:t>
      </w:r>
      <w:r>
        <w:rPr>
          <w:b/>
        </w:rPr>
        <w:t xml:space="preserve">账号数</w:t>
      </w:r>
      <w:r>
        <w:t xml:space="preserve">"与"</w:t>
      </w:r>
      <w:r>
        <w:rPr>
          <w:b/>
        </w:rPr>
        <w:t xml:space="preserve">同时在线并发数</w:t>
      </w:r>
      <w:r>
        <w:t xml:space="preserve">"两条独立维度计费，郑大可单独或组合增购。</w:t>
      </w:r>
      <w:r>
        <w:rPr>
          <w:b/>
        </w:rPr>
        <w:t xml:space="preserve">本扩容单价仅适用于合作首年（即本年度内）</w:t>
      </w:r>
      <w:r>
        <w:t xml:space="preserve">，次年扩容单价由双方在《续约确认书》中另行商定优惠方案。</w:t>
      </w:r>
    </w:p>
    <w:tbl>
      <w:tblPr>
        <w:tblStyle w:val="Table"/>
        <w:tblW w:type="pct" w:w="0.0"/>
        <w:tblLook w:firstRow="1"/>
      </w:tblPr>
      <w:tblGrid/>
      <w:tr>
        <w:trPr>
          <w:cnfStyle w:firstRow="1"/>
        </w:trPr>
        <w:tc>
          <w:tcPr>
            <w:tcBorders>
              <w:bottom w:val="single"/>
            </w:tcBorders>
            <w:vAlign w:val="bottom"/>
          </w:tcPr>
          <w:p>
            <w:pPr>
              <w:pStyle w:val="Compact"/>
              <w:jc w:val="left"/>
            </w:pPr>
            <w:r>
              <w:t xml:space="preserve">扩容线</w:t>
            </w:r>
          </w:p>
        </w:tc>
        <w:tc>
          <w:tcPr>
            <w:tcBorders>
              <w:bottom w:val="single"/>
            </w:tcBorders>
            <w:vAlign w:val="bottom"/>
          </w:tcPr>
          <w:p>
            <w:pPr>
              <w:pStyle w:val="Compact"/>
              <w:jc w:val="left"/>
            </w:pPr>
            <w:r>
              <w:t xml:space="preserve">基准 → 目标</w:t>
            </w:r>
          </w:p>
        </w:tc>
        <w:tc>
          <w:tcPr>
            <w:tcBorders>
              <w:bottom w:val="single"/>
            </w:tcBorders>
            <w:vAlign w:val="bottom"/>
          </w:tcPr>
          <w:p>
            <w:pPr>
              <w:pStyle w:val="Compact"/>
              <w:jc w:val="left"/>
            </w:pPr>
            <w:r>
              <w:t xml:space="preserve">单价（首年）</w:t>
            </w:r>
          </w:p>
        </w:tc>
        <w:tc>
          <w:tcPr>
            <w:tcBorders>
              <w:bottom w:val="single"/>
            </w:tcBorders>
            <w:vAlign w:val="bottom"/>
          </w:tcPr>
          <w:p>
            <w:pPr>
              <w:pStyle w:val="Compact"/>
              <w:jc w:val="left"/>
            </w:pPr>
            <w:r>
              <w:t xml:space="preserve">说明</w:t>
            </w:r>
          </w:p>
        </w:tc>
      </w:tr>
      <w:tr>
        <w:tc>
          <w:p>
            <w:pPr>
              <w:pStyle w:val="Compact"/>
              <w:jc w:val="left"/>
            </w:pPr>
            <w:r>
              <w:t xml:space="preserve">线 A · 账号数</w:t>
            </w:r>
          </w:p>
        </w:tc>
        <w:tc>
          <w:p>
            <w:pPr>
              <w:pStyle w:val="Compact"/>
              <w:jc w:val="left"/>
            </w:pPr>
            <w:r>
              <w:t xml:space="preserve">200 账号 → 300 账号</w:t>
            </w:r>
            <w:r>
              <w:br w:type="textWrapping"/>
            </w:r>
            <w:r>
              <w:t xml:space="preserve">增购 100 账号</w:t>
            </w:r>
          </w:p>
        </w:tc>
        <w:tc>
          <w:p>
            <w:pPr>
              <w:pStyle w:val="Compact"/>
              <w:jc w:val="left"/>
            </w:pPr>
            <w:r>
              <w:rPr>
                <w:b/>
              </w:rPr>
              <w:t xml:space="preserve">¥ 20 / 账号 / 年</w:t>
            </w:r>
            <w:r>
              <w:br w:type="textWrapping"/>
            </w:r>
            <w:r>
              <w:t xml:space="preserve">示例：增 100 账号 = ¥ 2,000 / 年</w:t>
            </w:r>
          </w:p>
        </w:tc>
        <w:tc>
          <w:p>
            <w:pPr>
              <w:pStyle w:val="Compact"/>
              <w:jc w:val="left"/>
            </w:pPr>
            <w:r>
              <w:t xml:space="preserve">适用于师生规模扩大、需要更多授权账号分配的场景；</w:t>
            </w:r>
            <w:r>
              <w:t xml:space="preserve"> </w:t>
            </w:r>
            <w:r>
              <w:rPr>
                <w:b/>
              </w:rPr>
              <w:t xml:space="preserve">不提升同时在线并发上限</w:t>
            </w:r>
            <w:r>
              <w:t xml:space="preserve">（仍为 50 并发）；</w:t>
            </w:r>
            <w:r>
              <w:t xml:space="preserve"> </w:t>
            </w:r>
            <w:r>
              <w:t xml:space="preserve">单价低于首年均价（¥30/账号），体现续扩优惠。</w:t>
            </w:r>
          </w:p>
        </w:tc>
      </w:tr>
      <w:tr>
        <w:tc>
          <w:p>
            <w:pPr>
              <w:pStyle w:val="Compact"/>
              <w:jc w:val="left"/>
            </w:pPr>
            <w:r>
              <w:t xml:space="preserve">线 B · 并发数</w:t>
            </w:r>
          </w:p>
        </w:tc>
        <w:tc>
          <w:p>
            <w:pPr>
              <w:pStyle w:val="Compact"/>
              <w:jc w:val="left"/>
            </w:pPr>
            <w:r>
              <w:t xml:space="preserve">50 并发 → 100 并发</w:t>
            </w:r>
            <w:r>
              <w:br w:type="textWrapping"/>
            </w:r>
            <w:r>
              <w:t xml:space="preserve">增购 50 并发位</w:t>
            </w:r>
          </w:p>
        </w:tc>
        <w:tc>
          <w:p>
            <w:pPr>
              <w:pStyle w:val="Compact"/>
              <w:jc w:val="left"/>
            </w:pPr>
            <w:r>
              <w:rPr>
                <w:b/>
              </w:rPr>
              <w:t xml:space="preserve">¥ 200 / 并发位 / 年</w:t>
            </w:r>
            <w:r>
              <w:br w:type="textWrapping"/>
            </w:r>
            <w:r>
              <w:t xml:space="preserve">示例：增 50 并发 = ¥ 10,000 / 年</w:t>
            </w:r>
          </w:p>
        </w:tc>
        <w:tc>
          <w:p>
            <w:pPr>
              <w:pStyle w:val="Compact"/>
              <w:jc w:val="left"/>
            </w:pPr>
            <w:r>
              <w:t xml:space="preserve">适用于教学大课、集中培训、考试期间同时在线人数激增的场景；</w:t>
            </w:r>
            <w:r>
              <w:t xml:space="preserve"> </w:t>
            </w:r>
            <w:r>
              <w:rPr>
                <w:b/>
              </w:rPr>
              <w:t xml:space="preserve">需同步升级硬件配置</w:t>
            </w:r>
            <w:r>
              <w:t xml:space="preserve">（基础档→推荐档，详见第五条）；</w:t>
            </w:r>
            <w:r>
              <w:t xml:space="preserve"> </w:t>
            </w:r>
            <w:r>
              <w:t xml:space="preserve">账号总数不变（仍为 200 账号）。</w:t>
            </w:r>
          </w:p>
        </w:tc>
      </w:tr>
    </w:tbl>
    <w:p>
      <w:pPr>
        <w:pStyle w:val="Compact"/>
      </w:pPr>
      <w:r>
        <w:t xml:space="preserve">扩 容 说 明</w:t>
      </w:r>
    </w:p>
    <w:p>
      <w:pPr>
        <w:pStyle w:val="BodyText"/>
      </w:pPr>
      <w:r>
        <w:t xml:space="preserve">1.</w:t>
      </w:r>
      <w:r>
        <w:t xml:space="preserve"> </w:t>
      </w:r>
      <w:r>
        <w:rPr>
          <w:b/>
        </w:rPr>
        <w:t xml:space="preserve">本扩容单价仅限首年（本年度）有效</w:t>
      </w:r>
      <w:r>
        <w:t xml:space="preserve">；次年扩容单价不高于首年价，具体优惠方案以《续约确认书》为准。</w:t>
      </w:r>
    </w:p>
    <w:p>
      <w:pPr>
        <w:pStyle w:val="BodyText"/>
      </w:pPr>
      <w:r>
        <w:t xml:space="preserve">2. 线 A 与线 B 可</w:t>
      </w:r>
      <w:r>
        <w:rPr>
          <w:b/>
        </w:rPr>
        <w:t xml:space="preserve">独立或组合增购</w:t>
      </w:r>
      <w:r>
        <w:t xml:space="preserve">（例：账号 200→300 同时并发 50→80，分别计算）。</w:t>
      </w:r>
    </w:p>
    <w:p>
      <w:pPr>
        <w:pStyle w:val="BodyText"/>
      </w:pPr>
      <w:r>
        <w:t xml:space="preserve">3. 线 B 并发扩容</w:t>
      </w:r>
      <w:r>
        <w:rPr>
          <w:b/>
        </w:rPr>
        <w:t xml:space="preserve">触发硬件升级门槛</w:t>
      </w:r>
      <w:r>
        <w:t xml:space="preserve">：50→100 并发需从基础档升级至推荐档（应用+DB+GPU 三件套），硬件由甲方自备或委托乙方代采，软件授权费按上表收取。</w:t>
      </w:r>
    </w:p>
    <w:p>
      <w:pPr>
        <w:pStyle w:val="BodyText"/>
      </w:pPr>
      <w:r>
        <w:t xml:space="preserve">4. 扩容费用按剩余授权期线性折算（如首年过半时增购，按 50% 计费），最低增购单元：账号 10 个 / 并发位 10 个。</w:t>
      </w:r>
    </w:p>
    <w:p>
      <w:pPr>
        <w:pStyle w:val="Heading3"/>
      </w:pPr>
      <w:bookmarkStart w:id="34" w:name="第六条之三客户量保底仅适用方案甲"/>
      <w:r>
        <w:t xml:space="preserve">第六条之三　客户量保底（仅适用方案甲）</w:t>
      </w:r>
      <w:bookmarkEnd w:id="34"/>
    </w:p>
    <w:p>
      <w:pPr>
        <w:pStyle w:val="FirstParagraph"/>
      </w:pPr>
      <w:r>
        <w:t xml:space="preserve">鉴于方案甲采取首年战略合作特惠定价，其商业前提为</w:t>
      </w:r>
      <w:r>
        <w:rPr>
          <w:b/>
        </w:rPr>
        <w:t xml:space="preserve">郑大在合作首年内形成可观察、可对外宣讲的真实使用规模</w:t>
      </w:r>
      <w:r>
        <w:t xml:space="preserve">，以支撑双方共建"河南省高校科研绘图示范中心"之叙事，并为后续联盟推广积累案例数据。双方同意设立客户量保底指标如下。</w:t>
      </w:r>
    </w:p>
    <w:tbl>
      <w:tblPr>
        <w:tblStyle w:val="Table"/>
        <w:tblW w:type="pct" w:w="0.0"/>
        <w:tblLook w:firstRow="1"/>
      </w:tblPr>
      <w:tblGrid/>
      <w:tr>
        <w:trPr>
          <w:cnfStyle w:firstRow="1"/>
        </w:trPr>
        <w:tc>
          <w:tcPr>
            <w:tcBorders>
              <w:bottom w:val="single"/>
            </w:tcBorders>
            <w:vAlign w:val="bottom"/>
          </w:tcPr>
          <w:p>
            <w:pPr>
              <w:pStyle w:val="Compact"/>
              <w:jc w:val="left"/>
            </w:pPr>
            <w:r>
              <w:t xml:space="preserve">指标维度</w:t>
            </w:r>
          </w:p>
        </w:tc>
        <w:tc>
          <w:tcPr>
            <w:tcBorders>
              <w:bottom w:val="single"/>
            </w:tcBorders>
            <w:vAlign w:val="bottom"/>
          </w:tcPr>
          <w:p>
            <w:pPr>
              <w:pStyle w:val="Compact"/>
              <w:jc w:val="left"/>
            </w:pPr>
            <w:r>
              <w:t xml:space="preserve">保底值</w:t>
            </w:r>
          </w:p>
        </w:tc>
        <w:tc>
          <w:tcPr>
            <w:tcBorders>
              <w:bottom w:val="single"/>
            </w:tcBorders>
            <w:vAlign w:val="bottom"/>
          </w:tcPr>
          <w:p>
            <w:pPr>
              <w:pStyle w:val="Compact"/>
              <w:jc w:val="left"/>
            </w:pPr>
            <w:r>
              <w:t xml:space="preserve">口径与说明</w:t>
            </w:r>
          </w:p>
        </w:tc>
      </w:tr>
      <w:tr>
        <w:tc>
          <w:p>
            <w:pPr>
              <w:pStyle w:val="Compact"/>
              <w:jc w:val="left"/>
            </w:pPr>
            <w:r>
              <w:rPr>
                <w:b/>
              </w:rPr>
              <w:t xml:space="preserve">累计激活账号数</w:t>
            </w:r>
          </w:p>
        </w:tc>
        <w:tc>
          <w:p>
            <w:pPr>
              <w:pStyle w:val="Compact"/>
              <w:jc w:val="left"/>
            </w:pPr>
            <w:r>
              <w:t xml:space="preserve">≥</w:t>
            </w:r>
            <w:r>
              <w:t xml:space="preserve"> </w:t>
            </w:r>
            <w:r>
              <w:rPr>
                <w:b/>
              </w:rPr>
              <w:t xml:space="preserve">150 个</w:t>
            </w:r>
            <w:r>
              <w:br w:type="textWrapping"/>
            </w:r>
            <w:r>
              <w:t xml:space="preserve">（200 授权账号的 75%）</w:t>
            </w:r>
          </w:p>
        </w:tc>
        <w:tc>
          <w:p>
            <w:pPr>
              <w:pStyle w:val="Compact"/>
              <w:jc w:val="left"/>
            </w:pPr>
            <w:r>
              <w:t xml:space="preserve">统计口径：自平台正式上线之日起至首年到期日止，完成首次登录并创建至少 1 件作品的账号数。</w:t>
            </w:r>
            <w:r>
              <w:rPr>
                <w:b/>
              </w:rPr>
              <w:t xml:space="preserve">双方共同推广</w:t>
            </w:r>
            <w:r>
              <w:t xml:space="preserve">，由甲方信息化部门牵头组织院系宣发，乙方提供宣发物料与师资培训支持。</w:t>
            </w:r>
          </w:p>
        </w:tc>
      </w:tr>
      <w:tr>
        <w:tc>
          <w:p>
            <w:pPr>
              <w:pStyle w:val="Compact"/>
              <w:jc w:val="left"/>
            </w:pPr>
            <w:r>
              <w:rPr>
                <w:b/>
              </w:rPr>
              <w:t xml:space="preserve">月活账号数（MAU）</w:t>
            </w:r>
          </w:p>
        </w:tc>
        <w:tc>
          <w:p>
            <w:pPr>
              <w:pStyle w:val="Compact"/>
              <w:jc w:val="left"/>
            </w:pPr>
            <w:r>
              <w:t xml:space="preserve">≥</w:t>
            </w:r>
            <w:r>
              <w:t xml:space="preserve"> </w:t>
            </w:r>
            <w:r>
              <w:rPr>
                <w:b/>
              </w:rPr>
              <w:t xml:space="preserve">80 个 / 月</w:t>
            </w:r>
            <w:r>
              <w:br w:type="textWrapping"/>
            </w:r>
            <w:r>
              <w:t xml:space="preserve">（自第 3 个完整自然月起考核）</w:t>
            </w:r>
          </w:p>
        </w:tc>
        <w:tc>
          <w:p>
            <w:pPr>
              <w:pStyle w:val="Compact"/>
              <w:jc w:val="left"/>
            </w:pPr>
            <w:r>
              <w:t xml:space="preserve">统计口径：当月内至少登录 1 次且执行至少 1 次绘图或数据处理操作的账号数；前两个月为推广培育期，不计入考核。</w:t>
            </w:r>
          </w:p>
        </w:tc>
      </w:tr>
      <w:tr>
        <w:tc>
          <w:p>
            <w:pPr>
              <w:pStyle w:val="Compact"/>
              <w:jc w:val="left"/>
            </w:pPr>
            <w:r>
              <w:rPr>
                <w:b/>
              </w:rPr>
              <w:t xml:space="preserve">累计作品产出数</w:t>
            </w:r>
          </w:p>
        </w:tc>
        <w:tc>
          <w:p>
            <w:pPr>
              <w:pStyle w:val="Compact"/>
              <w:jc w:val="left"/>
            </w:pPr>
            <w:r>
              <w:t xml:space="preserve">≥</w:t>
            </w:r>
            <w:r>
              <w:t xml:space="preserve"> </w:t>
            </w:r>
            <w:r>
              <w:rPr>
                <w:b/>
              </w:rPr>
              <w:t xml:space="preserve">3,000 件 / 首年</w:t>
            </w:r>
          </w:p>
        </w:tc>
        <w:tc>
          <w:p>
            <w:pPr>
              <w:pStyle w:val="Compact"/>
              <w:jc w:val="left"/>
            </w:pPr>
            <w:r>
              <w:t xml:space="preserve">统计口径：首年内本平台内创建、保存或导出的科研绘图与数据处理产物总数（含草稿）；该数据用于双方联合发布《河南省高校科研绘图能力建设年度白皮书》。</w:t>
            </w:r>
          </w:p>
        </w:tc>
      </w:tr>
    </w:tbl>
    <w:p>
      <w:pPr>
        <w:pStyle w:val="Heading4"/>
      </w:pPr>
      <w:bookmarkStart w:id="35" w:name="未达保底之处理机制"/>
      <w:r>
        <w:t xml:space="preserve">未达保底之处理机制</w:t>
      </w:r>
      <w:bookmarkEnd w:id="35"/>
    </w:p>
    <w:p>
      <w:pPr>
        <w:pStyle w:val="Compact"/>
        <w:numPr>
          <w:numId w:val="1006"/>
          <w:ilvl w:val="0"/>
        </w:numPr>
      </w:pPr>
      <w:r>
        <w:rPr>
          <w:b/>
        </w:rPr>
        <w:t xml:space="preserve">第一阶段 · 提示整改</w:t>
      </w:r>
      <w:r>
        <w:t xml:space="preserve">：任一季度末统计未达保底值的 70% 时，乙方向甲方发出书面提示，双方于 30 日内联合制定整改推广方案；</w:t>
      </w:r>
    </w:p>
    <w:p>
      <w:pPr>
        <w:pStyle w:val="Compact"/>
        <w:numPr>
          <w:numId w:val="1006"/>
          <w:ilvl w:val="0"/>
        </w:numPr>
      </w:pPr>
      <w:r>
        <w:rPr>
          <w:b/>
        </w:rPr>
        <w:t xml:space="preserve">第二阶段 · 协商转换</w:t>
      </w:r>
      <w:r>
        <w:t xml:space="preserve">：首年到期累计未达保底值的 60% 时，双方协商选择以下任一处置：</w:t>
      </w:r>
      <w:r>
        <w:br w:type="textWrapping"/>
      </w:r>
      <w:r>
        <w:t xml:space="preserve">（a）次年转为</w:t>
      </w:r>
      <w:r>
        <w:rPr>
          <w:b/>
        </w:rPr>
        <w:t xml:space="preserve">方案乙（营收分成）</w:t>
      </w:r>
      <w:r>
        <w:t xml:space="preserve">模式；</w:t>
      </w:r>
      <w:r>
        <w:br w:type="textWrapping"/>
      </w:r>
      <w:r>
        <w:t xml:space="preserve">（b）次年续约不再享受首年特惠价，按双方届时另行商定之市场优惠价执行；</w:t>
      </w:r>
      <w:r>
        <w:br w:type="textWrapping"/>
      </w:r>
      <w:r>
        <w:t xml:space="preserve">（c）双方继续合作但甲方出具书面说明并承诺次年达保底；</w:t>
      </w:r>
    </w:p>
    <w:p>
      <w:pPr>
        <w:pStyle w:val="Compact"/>
        <w:numPr>
          <w:numId w:val="1006"/>
          <w:ilvl w:val="0"/>
        </w:numPr>
      </w:pPr>
      <w:r>
        <w:rPr>
          <w:b/>
        </w:rPr>
        <w:t xml:space="preserve">第三阶段 · 退出机制</w:t>
      </w:r>
      <w:r>
        <w:t xml:space="preserve">：连续两个年度未达保底值的 50%，且无实质性整改动作的，任何一方有权终止本协议，已收取的费用不予退还，但乙方配合甲方完成数据迁移与销毁。</w:t>
      </w:r>
    </w:p>
    <w:p>
      <w:pPr>
        <w:pStyle w:val="Compact"/>
      </w:pPr>
      <w:r>
        <w:t xml:space="preserve">保 底 条 款 设 计 初 衷</w:t>
      </w:r>
    </w:p>
    <w:p>
      <w:pPr>
        <w:pStyle w:val="BodyText"/>
      </w:pPr>
      <w:r>
        <w:rPr>
          <w:b/>
        </w:rPr>
        <w:t xml:space="preserve">非惩罚性、双向约束</w:t>
      </w:r>
      <w:r>
        <w:t xml:space="preserve">：保底指标既是甲方推广投入的承诺，也是乙方持续服务质量的考核依据——若因平台稳定性、功能缺陷、培训不到位导致未达保底，乙方同样承担整改责任。</w:t>
      </w:r>
    </w:p>
    <w:p>
      <w:pPr>
        <w:pStyle w:val="BodyText"/>
      </w:pPr>
      <w:r>
        <w:rPr>
          <w:b/>
        </w:rPr>
        <w:t xml:space="preserve">共同目标</w:t>
      </w:r>
      <w:r>
        <w:t xml:space="preserve">：保底数据将作为双方联合申报科研项目、对外宣讲、申请省级示范中心、发起河南省高校科研绘图联盟的核心事实依据，对双方均有战略价值。</w:t>
      </w:r>
    </w:p>
    <w:p>
      <w:pPr>
        <w:pStyle w:val="Heading3"/>
      </w:pPr>
      <w:bookmarkStart w:id="36" w:name="第六条之四ai-服务费用与使用配额"/>
      <w:r>
        <w:t xml:space="preserve">第六条之四　AI 服务费用与使用配额</w:t>
      </w:r>
      <w:bookmarkEnd w:id="36"/>
    </w:p>
    <w:p>
      <w:pPr>
        <w:pStyle w:val="FirstParagraph"/>
      </w:pPr>
      <w:r>
        <w:t xml:space="preserve">本平台内置的 AI 辅助绘图、AI 对话、AI 图标识别、AI 数据处理等智能能力，依托外部大语言模型服务实现。</w:t>
      </w:r>
      <w:r>
        <w:rPr>
          <w:b/>
        </w:rPr>
        <w:t xml:space="preserve">默认采用"SCIDraw 包揽"模式</w:t>
      </w:r>
      <w:r>
        <w:t xml:space="preserve">——由乙方统一对接大模型服务商、统一计费、统一运维，</w:t>
      </w:r>
      <w:r>
        <w:rPr>
          <w:b/>
        </w:rPr>
        <w:t xml:space="preserve">甲方无需与任何第三方模型服务商另行签约</w:t>
      </w:r>
      <w:r>
        <w:t xml:space="preserve">。</w:t>
      </w:r>
    </w:p>
    <w:p>
      <w:pPr>
        <w:pStyle w:val="Heading4"/>
      </w:pPr>
      <w:bookmarkStart w:id="37" w:name="一默认配额含于方案甲授权费内"/>
      <w:r>
        <w:t xml:space="preserve">一、默认配额（含于方案甲授权费内）</w:t>
      </w:r>
      <w:bookmarkEnd w:id="37"/>
    </w:p>
    <w:tbl>
      <w:tblPr>
        <w:tblStyle w:val="Table"/>
        <w:tblW w:type="pct" w:w="0.0"/>
        <w:tblLook w:firstRow="1"/>
      </w:tblPr>
      <w:tblGrid/>
      <w:tr>
        <w:trPr>
          <w:cnfStyle w:firstRow="1"/>
        </w:trPr>
        <w:tc>
          <w:tcPr>
            <w:tcBorders>
              <w:bottom w:val="single"/>
            </w:tcBorders>
            <w:vAlign w:val="bottom"/>
          </w:tcPr>
          <w:p>
            <w:pPr>
              <w:pStyle w:val="Compact"/>
              <w:jc w:val="left"/>
            </w:pPr>
            <w:r>
              <w:t xml:space="preserve">AI 服务类型</w:t>
            </w:r>
          </w:p>
        </w:tc>
        <w:tc>
          <w:tcPr>
            <w:tcBorders>
              <w:bottom w:val="single"/>
            </w:tcBorders>
            <w:vAlign w:val="bottom"/>
          </w:tcPr>
          <w:p>
            <w:pPr>
              <w:pStyle w:val="Compact"/>
              <w:jc w:val="left"/>
            </w:pPr>
            <w:r>
              <w:t xml:space="preserve">单账号月度配额</w:t>
            </w:r>
          </w:p>
        </w:tc>
        <w:tc>
          <w:tcPr>
            <w:tcBorders>
              <w:bottom w:val="single"/>
            </w:tcBorders>
            <w:vAlign w:val="bottom"/>
          </w:tcPr>
          <w:p>
            <w:pPr>
              <w:pStyle w:val="Compact"/>
              <w:jc w:val="left"/>
            </w:pPr>
            <w:r>
              <w:t xml:space="preserve">说明</w:t>
            </w:r>
          </w:p>
        </w:tc>
      </w:tr>
      <w:tr>
        <w:tc>
          <w:p>
            <w:pPr>
              <w:pStyle w:val="Compact"/>
              <w:jc w:val="left"/>
            </w:pPr>
            <w:r>
              <w:rPr>
                <w:b/>
              </w:rPr>
              <w:t xml:space="preserve">AI 生图</w:t>
            </w:r>
            <w:r>
              <w:br w:type="textWrapping"/>
            </w:r>
            <w:r>
              <w:t xml:space="preserve">自然语言生成矢量科研图形</w:t>
            </w:r>
          </w:p>
        </w:tc>
        <w:tc>
          <w:p>
            <w:pPr>
              <w:pStyle w:val="Compact"/>
              <w:jc w:val="left"/>
            </w:pPr>
            <w:r>
              <w:rPr>
                <w:b/>
              </w:rPr>
              <w:t xml:space="preserve">30 次 / 月</w:t>
            </w:r>
          </w:p>
        </w:tc>
        <w:tc>
          <w:p>
            <w:pPr>
              <w:pStyle w:val="Compact"/>
              <w:jc w:val="left"/>
            </w:pPr>
            <w:r>
              <w:t xml:space="preserve">覆盖师生日常论文配图、课题汇报、组会展示等典型场景；按 SCIDraw 既有用户行为统计，约 92% 用户月用量低于此值。</w:t>
            </w:r>
          </w:p>
        </w:tc>
      </w:tr>
      <w:tr>
        <w:tc>
          <w:p>
            <w:pPr>
              <w:pStyle w:val="Compact"/>
              <w:jc w:val="left"/>
            </w:pPr>
            <w:r>
              <w:rPr>
                <w:b/>
              </w:rPr>
              <w:t xml:space="preserve">AI 对话与数据处理</w:t>
            </w:r>
            <w:r>
              <w:br w:type="textWrapping"/>
            </w:r>
            <w:r>
              <w:t xml:space="preserve">含图标识别、SMILES 解析、公式渲染辅助、数据可视化建议</w:t>
            </w:r>
          </w:p>
        </w:tc>
        <w:tc>
          <w:p>
            <w:pPr>
              <w:pStyle w:val="Compact"/>
              <w:jc w:val="left"/>
            </w:pPr>
            <w:r>
              <w:rPr>
                <w:b/>
              </w:rPr>
              <w:t xml:space="preserve">200 次 / 月</w:t>
            </w:r>
          </w:p>
        </w:tc>
        <w:tc>
          <w:p>
            <w:pPr>
              <w:pStyle w:val="Compact"/>
              <w:jc w:val="left"/>
            </w:pPr>
            <w:r>
              <w:t xml:space="preserve">按高频用户日均 6-8 次测算；正常教学科研使用充裕。</w:t>
            </w:r>
          </w:p>
        </w:tc>
      </w:tr>
    </w:tbl>
    <w:p>
      <w:pPr>
        <w:pStyle w:val="BodyText"/>
      </w:pPr>
      <w:r>
        <w:t xml:space="preserve">注：上述配额为</w:t>
      </w:r>
      <w:r>
        <w:rPr>
          <w:b/>
        </w:rPr>
        <w:t xml:space="preserve">账号月度上限</w:t>
      </w:r>
      <w:r>
        <w:t xml:space="preserve">，月初自动重置；配额内调用由乙方承担全部模型费用，甲方无需另行支付。</w:t>
      </w:r>
    </w:p>
    <w:p>
      <w:pPr>
        <w:pStyle w:val="Heading4"/>
      </w:pPr>
      <w:bookmarkStart w:id="38" w:name="二超出配额的加包机制"/>
      <w:r>
        <w:t xml:space="preserve">二、超出配额的加包机制</w:t>
      </w:r>
      <w:bookmarkEnd w:id="38"/>
    </w:p>
    <w:p>
      <w:pPr>
        <w:pStyle w:val="FirstParagraph"/>
      </w:pPr>
      <w:r>
        <w:t xml:space="preserve">当单账号或全平台实际使用量超出默认配额时，由</w:t>
      </w:r>
      <w:r>
        <w:rPr>
          <w:b/>
        </w:rPr>
        <w:t xml:space="preserve">甲方统一采购加包</w:t>
      </w:r>
      <w:r>
        <w:t xml:space="preserve">（师生个人不直接向乙方付费），按以下三种模式任选其一：</w:t>
      </w:r>
    </w:p>
    <w:tbl>
      <w:tblPr>
        <w:tblStyle w:val="Table"/>
        <w:tblW w:type="pct" w:w="0.0"/>
        <w:tblLook w:firstRow="1"/>
      </w:tblPr>
      <w:tblGrid/>
      <w:tr>
        <w:trPr>
          <w:cnfStyle w:firstRow="1"/>
        </w:trPr>
        <w:tc>
          <w:tcPr>
            <w:tcBorders>
              <w:bottom w:val="single"/>
            </w:tcBorders>
            <w:vAlign w:val="bottom"/>
          </w:tcPr>
          <w:p>
            <w:pPr>
              <w:pStyle w:val="Compact"/>
              <w:jc w:val="left"/>
            </w:pPr>
            <w:r>
              <w:t xml:space="preserve">加包模式</w:t>
            </w:r>
          </w:p>
        </w:tc>
        <w:tc>
          <w:tcPr>
            <w:tcBorders>
              <w:bottom w:val="single"/>
            </w:tcBorders>
            <w:vAlign w:val="bottom"/>
          </w:tcPr>
          <w:p>
            <w:pPr>
              <w:pStyle w:val="Compact"/>
              <w:jc w:val="left"/>
            </w:pPr>
            <w:r>
              <w:t xml:space="preserve">价目（建议值，最终以《商务条款确认书》为准）</w:t>
            </w:r>
          </w:p>
        </w:tc>
        <w:tc>
          <w:tcPr>
            <w:tcBorders>
              <w:bottom w:val="single"/>
            </w:tcBorders>
            <w:vAlign w:val="bottom"/>
          </w:tcPr>
          <w:p>
            <w:pPr>
              <w:pStyle w:val="Compact"/>
              <w:jc w:val="left"/>
            </w:pPr>
            <w:r>
              <w:t xml:space="preserve">适用场景</w:t>
            </w:r>
          </w:p>
        </w:tc>
      </w:tr>
      <w:tr>
        <w:tc>
          <w:p>
            <w:pPr>
              <w:pStyle w:val="Compact"/>
              <w:jc w:val="left"/>
            </w:pPr>
            <w:r>
              <w:rPr>
                <w:b/>
              </w:rPr>
              <w:t xml:space="preserve">模式 A</w:t>
            </w:r>
            <w:r>
              <w:br w:type="textWrapping"/>
            </w:r>
            <w:r>
              <w:rPr>
                <w:b/>
              </w:rPr>
              <w:t xml:space="preserve">按量加包</w:t>
            </w:r>
          </w:p>
        </w:tc>
        <w:tc>
          <w:p>
            <w:pPr>
              <w:pStyle w:val="Compact"/>
              <w:jc w:val="left"/>
            </w:pPr>
            <w:r>
              <w:t xml:space="preserve">AI 对话：</w:t>
            </w:r>
            <w:r>
              <w:rPr>
                <w:b/>
              </w:rPr>
              <w:t xml:space="preserve">¥ 10 / 千次</w:t>
            </w:r>
            <w:r>
              <w:br w:type="textWrapping"/>
            </w:r>
            <w:r>
              <w:t xml:space="preserve">AI 生图：</w:t>
            </w:r>
            <w:r>
              <w:rPr>
                <w:b/>
              </w:rPr>
              <w:t xml:space="preserve">¥ 50 / 百次</w:t>
            </w:r>
            <w:r>
              <w:t xml:space="preserve">（即 ¥ 500 / 千次）</w:t>
            </w:r>
          </w:p>
        </w:tc>
        <w:tc>
          <w:p>
            <w:pPr>
              <w:pStyle w:val="Compact"/>
              <w:jc w:val="left"/>
            </w:pPr>
            <w:r>
              <w:t xml:space="preserve">偶发性用量超出的场景；按月对账结算。</w:t>
            </w:r>
          </w:p>
        </w:tc>
      </w:tr>
      <w:tr>
        <w:tc>
          <w:p>
            <w:pPr>
              <w:pStyle w:val="Compact"/>
              <w:jc w:val="left"/>
            </w:pPr>
            <w:r>
              <w:rPr>
                <w:b/>
              </w:rPr>
              <w:t xml:space="preserve">模式 B</w:t>
            </w:r>
            <w:r>
              <w:br w:type="textWrapping"/>
            </w:r>
            <w:r>
              <w:rPr>
                <w:b/>
              </w:rPr>
              <w:t xml:space="preserve">转营收分成</w:t>
            </w:r>
          </w:p>
        </w:tc>
        <w:tc>
          <w:p>
            <w:pPr>
              <w:pStyle w:val="Compact"/>
              <w:jc w:val="left"/>
            </w:pPr>
            <w:r>
              <w:t xml:space="preserve">当月超出配额 ≥ 50% 时，</w:t>
            </w:r>
            <w:r>
              <w:rPr>
                <w:b/>
              </w:rPr>
              <w:t xml:space="preserve">当月自动转为方案乙（50% 营收分成）模式</w:t>
            </w:r>
            <w:r>
              <w:t xml:space="preserve">，由甲方按月营收比例结算</w:t>
            </w:r>
          </w:p>
        </w:tc>
        <w:tc>
          <w:p>
            <w:pPr>
              <w:pStyle w:val="Compact"/>
              <w:jc w:val="left"/>
            </w:pPr>
            <w:r>
              <w:t xml:space="preserve">持续性用量增长、且甲方已开始对院内/师生收费的场景。</w:t>
            </w:r>
          </w:p>
        </w:tc>
      </w:tr>
      <w:tr>
        <w:tc>
          <w:p>
            <w:pPr>
              <w:pStyle w:val="Compact"/>
              <w:jc w:val="left"/>
            </w:pPr>
            <w:r>
              <w:rPr>
                <w:b/>
              </w:rPr>
              <w:t xml:space="preserve">模式 C</w:t>
            </w:r>
            <w:r>
              <w:br w:type="textWrapping"/>
            </w:r>
            <w:r>
              <w:rPr>
                <w:b/>
              </w:rPr>
              <w:t xml:space="preserve">本地模型部署</w:t>
            </w:r>
          </w:p>
        </w:tc>
        <w:tc>
          <w:p>
            <w:pPr>
              <w:pStyle w:val="Compact"/>
              <w:jc w:val="left"/>
            </w:pPr>
            <w:r>
              <w:t xml:space="preserve">单账号或全平台月均调用</w:t>
            </w:r>
            <w:r>
              <w:t xml:space="preserve"> </w:t>
            </w:r>
            <w:r>
              <w:rPr>
                <w:b/>
              </w:rPr>
              <w:t xml:space="preserve">&gt; 5 万次</w:t>
            </w:r>
            <w:r>
              <w:t xml:space="preserve">时，建议甲方部署本地开源大模型（如 Qwen / DeepSeek / ChatGLM 开源版）</w:t>
            </w:r>
            <w:r>
              <w:br w:type="textWrapping"/>
            </w:r>
            <w:r>
              <w:t xml:space="preserve">部署服务费：另行报价（参考价 ¥ 30,000 – 80,000，一次性）</w:t>
            </w:r>
          </w:p>
        </w:tc>
        <w:tc>
          <w:p>
            <w:pPr>
              <w:pStyle w:val="Compact"/>
              <w:jc w:val="left"/>
            </w:pPr>
            <w:r>
              <w:t xml:space="preserve">大用量课题组、AI 密集型学院（生信、材料、化工）；模型本地化后</w:t>
            </w:r>
            <w:r>
              <w:rPr>
                <w:b/>
              </w:rPr>
              <w:t xml:space="preserve">无 token 费用</w:t>
            </w:r>
            <w:r>
              <w:t xml:space="preserve">。</w:t>
            </w:r>
          </w:p>
        </w:tc>
      </w:tr>
    </w:tbl>
    <w:p>
      <w:pPr>
        <w:pStyle w:val="Heading4"/>
      </w:pPr>
      <w:bookmarkStart w:id="39" w:name="三敏感数据增强模块可选附加项"/>
      <w:r>
        <w:t xml:space="preserve">三、敏感数据增强模块（可选附加项）</w:t>
      </w:r>
      <w:bookmarkEnd w:id="39"/>
    </w:p>
    <w:p>
      <w:pPr>
        <w:pStyle w:val="FirstParagraph"/>
      </w:pPr>
      <w:r>
        <w:t xml:space="preserve">若甲方下属单位涉及</w:t>
      </w:r>
      <w:r>
        <w:rPr>
          <w:b/>
        </w:rPr>
        <w:t xml:space="preserve">军工科研、三级以上保密课题、人类遗传资源数据、涉密医疗数据</w:t>
      </w:r>
      <w:r>
        <w:t xml:space="preserve">等强合规场景，必须采用</w:t>
      </w:r>
      <w:r>
        <w:rPr>
          <w:b/>
        </w:rPr>
        <w:t xml:space="preserve">本地推理模式</w:t>
      </w:r>
      <w:r>
        <w:t xml:space="preserve">（数据严格不出校）。该场景作为可选附加模块，</w:t>
      </w:r>
      <w:r>
        <w:rPr>
          <w:b/>
        </w:rPr>
        <w:t xml:space="preserve">不在基础授权费范围内，需另行签订《敏感数据增强模块补充协议》</w:t>
      </w:r>
      <w:r>
        <w:t xml:space="preserve">。</w:t>
      </w:r>
    </w:p>
    <w:p>
      <w:pPr>
        <w:pStyle w:val="Compact"/>
        <w:numPr>
          <w:numId w:val="1007"/>
          <w:ilvl w:val="0"/>
        </w:numPr>
      </w:pPr>
      <w:r>
        <w:rPr>
          <w:b/>
        </w:rPr>
        <w:t xml:space="preserve">技术形态</w:t>
      </w:r>
      <w:r>
        <w:t xml:space="preserve">：在甲方校内服务器部署开源大模型（推荐 Qwen-72B / DeepSeek-V3 / ChatGLM-Open），所有 AI 推理在校园网内完成；</w:t>
      </w:r>
    </w:p>
    <w:p>
      <w:pPr>
        <w:pStyle w:val="Compact"/>
        <w:numPr>
          <w:numId w:val="1007"/>
          <w:ilvl w:val="0"/>
        </w:numPr>
      </w:pPr>
      <w:r>
        <w:rPr>
          <w:b/>
        </w:rPr>
        <w:t xml:space="preserve">硬件增量</w:t>
      </w:r>
      <w:r>
        <w:t xml:space="preserve">：在第五条"推荐档"基础上增加 GPU（建议 2 × NVIDIA A100 80GB 或 4 × L40S），由甲方自备或委托乙方代采；</w:t>
      </w:r>
    </w:p>
    <w:p>
      <w:pPr>
        <w:pStyle w:val="Compact"/>
        <w:numPr>
          <w:numId w:val="1007"/>
          <w:ilvl w:val="0"/>
        </w:numPr>
      </w:pPr>
      <w:r>
        <w:rPr>
          <w:b/>
        </w:rPr>
        <w:t xml:space="preserve">合作模式（三选一）</w:t>
      </w:r>
      <w:r>
        <w:t xml:space="preserve">：</w:t>
      </w:r>
      <w:r>
        <w:br w:type="textWrapping"/>
      </w:r>
      <w:r>
        <w:t xml:space="preserve">（a）纯开源模型部署：无需第三方模型厂商参与，双方签订补充协议即可；</w:t>
      </w:r>
      <w:r>
        <w:br w:type="textWrapping"/>
      </w:r>
      <w:r>
        <w:t xml:space="preserve">（b）智谱 GLM 私有化版本：三方协议（甲方 + 乙方 + 北京智谱华章科技有限公司），智谱方单独收取模型授权费；</w:t>
      </w:r>
      <w:r>
        <w:br w:type="textWrapping"/>
      </w:r>
      <w:r>
        <w:t xml:space="preserve">（c）混合模式：开源模型兜底 + 智谱 GLM 商用 API（脱敏后调用），按调用比例分摊；</w:t>
      </w:r>
    </w:p>
    <w:p>
      <w:pPr>
        <w:pStyle w:val="Compact"/>
        <w:numPr>
          <w:numId w:val="1007"/>
          <w:ilvl w:val="0"/>
        </w:numPr>
      </w:pPr>
      <w:r>
        <w:rPr>
          <w:b/>
        </w:rPr>
        <w:t xml:space="preserve">计费方式</w:t>
      </w:r>
      <w:r>
        <w:t xml:space="preserve">：部署服务费（一次性）+ 年度运维费（按 GPU 规模计），具体以补充协议为准。</w:t>
      </w:r>
    </w:p>
    <w:p>
      <w:pPr>
        <w:pStyle w:val="Heading4"/>
      </w:pPr>
      <w:bookmarkStart w:id="40" w:name="四数据合规与日志留存"/>
      <w:r>
        <w:t xml:space="preserve">四、数据合规与日志留存</w:t>
      </w:r>
      <w:bookmarkEnd w:id="40"/>
    </w:p>
    <w:p>
      <w:pPr>
        <w:pStyle w:val="Compact"/>
        <w:numPr>
          <w:numId w:val="1008"/>
          <w:ilvl w:val="0"/>
        </w:numPr>
      </w:pPr>
      <w:r>
        <w:rPr>
          <w:b/>
        </w:rPr>
        <w:t xml:space="preserve">最小化原则</w:t>
      </w:r>
      <w:r>
        <w:t xml:space="preserve">：AI 调用过程中传输的数据严格遵循"科研场景最小化原则"，乙方后端日志</w:t>
      </w:r>
      <w:r>
        <w:rPr>
          <w:b/>
        </w:rPr>
        <w:t xml:space="preserve">不记录、不存储</w:t>
      </w:r>
      <w:r>
        <w:t xml:space="preserve">甲方师生的 AI prompt 内容与生成结果；</w:t>
      </w:r>
    </w:p>
    <w:p>
      <w:pPr>
        <w:pStyle w:val="Compact"/>
        <w:numPr>
          <w:numId w:val="1008"/>
          <w:ilvl w:val="0"/>
        </w:numPr>
      </w:pPr>
      <w:r>
        <w:rPr>
          <w:b/>
        </w:rPr>
        <w:t xml:space="preserve">统计口径</w:t>
      </w:r>
      <w:r>
        <w:t xml:space="preserve">：配额统计仅记录调用次数、账号 ID、调用时间戳，不涉及业务内容；</w:t>
      </w:r>
    </w:p>
    <w:p>
      <w:pPr>
        <w:pStyle w:val="Compact"/>
        <w:numPr>
          <w:numId w:val="1008"/>
          <w:ilvl w:val="0"/>
        </w:numPr>
      </w:pPr>
      <w:r>
        <w:rPr>
          <w:b/>
        </w:rPr>
        <w:t xml:space="preserve">加密传输</w:t>
      </w:r>
      <w:r>
        <w:t xml:space="preserve">：AI 调用链路全程 HTTPS 加密；</w:t>
      </w:r>
    </w:p>
    <w:p>
      <w:pPr>
        <w:pStyle w:val="Compact"/>
        <w:numPr>
          <w:numId w:val="1008"/>
          <w:ilvl w:val="0"/>
        </w:numPr>
      </w:pPr>
      <w:r>
        <w:rPr>
          <w:b/>
        </w:rPr>
        <w:t xml:space="preserve">审计权</w:t>
      </w:r>
      <w:r>
        <w:t xml:space="preserve">：甲方有权每年一次对乙方 AI 调用日志策略进行合规审计，乙方予以配合。</w:t>
      </w:r>
    </w:p>
    <w:p>
      <w:pPr>
        <w:pStyle w:val="Compact"/>
      </w:pPr>
      <w:r>
        <w:t xml:space="preserve">AI 服 务 模 式 设 计 初 衷</w:t>
      </w:r>
    </w:p>
    <w:p>
      <w:pPr>
        <w:pStyle w:val="BodyText"/>
      </w:pPr>
      <w:r>
        <w:rPr>
          <w:b/>
        </w:rPr>
        <w:t xml:space="preserve">不让甲方多线对接</w:t>
      </w:r>
      <w:r>
        <w:t xml:space="preserve">：私有化部署对甲方的承诺是"一站式、单一窗口、单一发票"。AI 服务由乙方统一对接、统一计费、统一运维，避免甲方与多家模型厂商逐一签约的内耗。</w:t>
      </w:r>
    </w:p>
    <w:p>
      <w:pPr>
        <w:pStyle w:val="BodyText"/>
      </w:pPr>
      <w:r>
        <w:rPr>
          <w:b/>
        </w:rPr>
        <w:t xml:space="preserve">风险双向封顶</w:t>
      </w:r>
      <w:r>
        <w:t xml:space="preserve">：单账号配额封顶保护乙方成本可控；加包机制保证甲方大用量场景可扩展；本地部署兜底极端场景。</w:t>
      </w:r>
    </w:p>
    <w:p>
      <w:pPr>
        <w:pStyle w:val="BodyText"/>
      </w:pPr>
      <w:r>
        <w:rPr>
          <w:b/>
        </w:rPr>
        <w:t xml:space="preserve">升级路径清晰</w:t>
      </w:r>
      <w:r>
        <w:t xml:space="preserve">：默认 SCIDraw 包揽 → 加包按量 / 转分成 → 本地部署开源模型 → 敏感数据增强模块，四个台阶平滑过渡。</w:t>
      </w:r>
    </w:p>
    <w:p>
      <w:pPr>
        <w:pStyle w:val="BodyText"/>
      </w:pPr>
      <w:r>
        <w:rPr>
          <w:b/>
        </w:rPr>
        <w:t xml:space="preserve">方案甲</w:t>
      </w:r>
      <w:r>
        <w:t xml:space="preserve">适合：郑大已将其纳入信息化预算、希望费用固定可控、并由信息化部门统一向师生免费开放的运营模式。</w:t>
      </w:r>
    </w:p>
    <w:p>
      <w:pPr>
        <w:pStyle w:val="BodyText"/>
      </w:pPr>
      <w:r>
        <w:rPr>
          <w:b/>
        </w:rPr>
        <w:t xml:space="preserve">方案乙</w:t>
      </w:r>
      <w:r>
        <w:t xml:space="preserve">适合：郑大希望将本平台作为可持续运营的服务产品（如面向全校师生及省内兄弟院校适当收费），与 SCIDraw 长期分享运营收益的合作模式。</w:t>
      </w:r>
    </w:p>
    <w:p>
      <w:pPr>
        <w:pStyle w:val="Heading2"/>
      </w:pPr>
      <w:bookmarkStart w:id="41" w:name="第四章双方权利与义务"/>
      <w:r>
        <w:t xml:space="preserve">第四章　双方权利与义务</w:t>
      </w:r>
      <w:bookmarkEnd w:id="41"/>
    </w:p>
    <w:p>
      <w:pPr>
        <w:pStyle w:val="Heading3"/>
      </w:pPr>
      <w:bookmarkStart w:id="42" w:name="第七条甲方郑州大学权利与义务"/>
      <w:r>
        <w:t xml:space="preserve">第七条　甲方（郑州大学）权利与义务</w:t>
      </w:r>
      <w:bookmarkEnd w:id="42"/>
    </w:p>
    <w:p>
      <w:pPr>
        <w:pStyle w:val="Compact"/>
        <w:numPr>
          <w:numId w:val="1009"/>
          <w:ilvl w:val="0"/>
        </w:numPr>
      </w:pPr>
      <w:r>
        <w:t xml:space="preserve">负责提供本协议第五条所述硬件环境、网络接入、机房与电力保障；</w:t>
      </w:r>
    </w:p>
    <w:p>
      <w:pPr>
        <w:pStyle w:val="Compact"/>
        <w:numPr>
          <w:numId w:val="1009"/>
          <w:ilvl w:val="0"/>
        </w:numPr>
      </w:pPr>
      <w:r>
        <w:t xml:space="preserve">负责本平台在郑大范围内的运营推广，包括但不限于师生培训、院系对接、宣传宣发；</w:t>
      </w:r>
    </w:p>
    <w:p>
      <w:pPr>
        <w:pStyle w:val="Compact"/>
        <w:numPr>
          <w:numId w:val="1009"/>
          <w:ilvl w:val="0"/>
        </w:numPr>
      </w:pPr>
      <w:r>
        <w:t xml:space="preserve">负责对接郑大统一身份认证系统、信息门户、教务科研管理系统；</w:t>
      </w:r>
    </w:p>
    <w:p>
      <w:pPr>
        <w:pStyle w:val="Compact"/>
        <w:numPr>
          <w:numId w:val="1009"/>
          <w:ilvl w:val="0"/>
        </w:numPr>
      </w:pPr>
      <w:r>
        <w:t xml:space="preserve">享有对本平台运营策略、定价策略、内部规章制度的最终决定权（方案乙项下之最低价限制除外）；</w:t>
      </w:r>
    </w:p>
    <w:p>
      <w:pPr>
        <w:pStyle w:val="Compact"/>
        <w:numPr>
          <w:numId w:val="1009"/>
          <w:ilvl w:val="0"/>
        </w:numPr>
      </w:pPr>
      <w:r>
        <w:t xml:space="preserve">按本协议约定向 SCIDraw 支付授权费或分成款；</w:t>
      </w:r>
    </w:p>
    <w:p>
      <w:pPr>
        <w:pStyle w:val="Compact"/>
        <w:numPr>
          <w:numId w:val="1009"/>
          <w:ilvl w:val="0"/>
        </w:numPr>
      </w:pPr>
      <w:r>
        <w:t xml:space="preserve">指定专门部门（建议：信息化办公室或网络中心）作为日常对接窗口。</w:t>
      </w:r>
    </w:p>
    <w:p>
      <w:pPr>
        <w:pStyle w:val="Heading3"/>
      </w:pPr>
      <w:bookmarkStart w:id="43" w:name="第八条乙方scidraw权利与义务"/>
      <w:r>
        <w:t xml:space="preserve">第八条　乙方（SCIDraw）权利与义务</w:t>
      </w:r>
      <w:bookmarkEnd w:id="43"/>
    </w:p>
    <w:p>
      <w:pPr>
        <w:pStyle w:val="Compact"/>
        <w:numPr>
          <w:numId w:val="1010"/>
          <w:ilvl w:val="0"/>
        </w:numPr>
      </w:pPr>
      <w:r>
        <w:t xml:space="preserve">负责按第五条、第六条约定提供私有化部署安装包，并完成首期部署、联调与上线；</w:t>
      </w:r>
    </w:p>
    <w:p>
      <w:pPr>
        <w:pStyle w:val="Compact"/>
        <w:numPr>
          <w:numId w:val="1010"/>
          <w:ilvl w:val="0"/>
        </w:numPr>
      </w:pPr>
      <w:r>
        <w:t xml:space="preserve">负责为郑大信息化部门及首批师资提供</w:t>
      </w:r>
      <w:r>
        <w:rPr>
          <w:b/>
        </w:rPr>
        <w:t xml:space="preserve">不少于 2 次</w:t>
      </w:r>
      <w:r>
        <w:t xml:space="preserve">免费培训（部署培训 + 师资培训）；</w:t>
      </w:r>
    </w:p>
    <w:p>
      <w:pPr>
        <w:pStyle w:val="Compact"/>
        <w:numPr>
          <w:numId w:val="1010"/>
          <w:ilvl w:val="0"/>
        </w:numPr>
      </w:pPr>
      <w:r>
        <w:t xml:space="preserve">提供平台日常运维知识库、故障排查手册、版本升级文档；</w:t>
      </w:r>
    </w:p>
    <w:p>
      <w:pPr>
        <w:pStyle w:val="Compact"/>
        <w:numPr>
          <w:numId w:val="1010"/>
          <w:ilvl w:val="0"/>
        </w:numPr>
      </w:pPr>
      <w:r>
        <w:t xml:space="preserve">承诺每季度发布一次功能更新包，由郑大自主选择升级窗口；</w:t>
      </w:r>
    </w:p>
    <w:p>
      <w:pPr>
        <w:pStyle w:val="Compact"/>
        <w:numPr>
          <w:numId w:val="1010"/>
          <w:ilvl w:val="0"/>
        </w:numPr>
      </w:pPr>
      <w:r>
        <w:t xml:space="preserve">对本平台核心 AI 模型、图形资产、源代码</w:t>
      </w:r>
      <w:r>
        <w:rPr>
          <w:b/>
        </w:rPr>
        <w:t xml:space="preserve">保留完整知识产权</w:t>
      </w:r>
      <w:r>
        <w:t xml:space="preserve">（详见第五章）；</w:t>
      </w:r>
    </w:p>
    <w:p>
      <w:pPr>
        <w:pStyle w:val="Compact"/>
        <w:numPr>
          <w:numId w:val="1010"/>
          <w:ilvl w:val="0"/>
        </w:numPr>
      </w:pPr>
      <w:r>
        <w:t xml:space="preserve">指定专属客户经理作为郑大对接窗口，关键故障 4 小时内响应、24 小时内处置。</w:t>
      </w:r>
    </w:p>
    <w:p>
      <w:pPr>
        <w:pStyle w:val="Heading2"/>
      </w:pPr>
      <w:bookmarkStart w:id="44" w:name="第五章知识产权与数据治理"/>
      <w:r>
        <w:t xml:space="preserve">第五章　知识产权与数据治理</w:t>
      </w:r>
      <w:bookmarkEnd w:id="44"/>
    </w:p>
    <w:p>
      <w:pPr>
        <w:pStyle w:val="Heading3"/>
      </w:pPr>
      <w:bookmarkStart w:id="45" w:name="第九条知识产权"/>
      <w:r>
        <w:t xml:space="preserve">第九条　知识产权</w:t>
      </w:r>
      <w:bookmarkEnd w:id="45"/>
    </w:p>
    <w:p>
      <w:pPr>
        <w:pStyle w:val="Compact"/>
        <w:numPr>
          <w:numId w:val="1011"/>
          <w:ilvl w:val="0"/>
        </w:numPr>
      </w:pPr>
      <w:r>
        <w:t xml:space="preserve">本平台之源代码、AI 模型、图形资产、模板库、商标、商号的知识产权</w:t>
      </w:r>
      <w:r>
        <w:rPr>
          <w:b/>
        </w:rPr>
        <w:t xml:space="preserve">完整归 SCIDraw 所有</w:t>
      </w:r>
      <w:r>
        <w:t xml:space="preserve">；</w:t>
      </w:r>
    </w:p>
    <w:p>
      <w:pPr>
        <w:pStyle w:val="Compact"/>
        <w:numPr>
          <w:numId w:val="1011"/>
          <w:ilvl w:val="0"/>
        </w:numPr>
      </w:pPr>
      <w:r>
        <w:t xml:space="preserve">SCIDraw 授予郑大在本协议有效期内、于郑大物理边界内、为教学科研目的</w:t>
      </w:r>
      <w:r>
        <w:rPr>
          <w:b/>
        </w:rPr>
        <w:t xml:space="preserve">非独占、不可转授权</w:t>
      </w:r>
      <w:r>
        <w:t xml:space="preserve">的使用权；</w:t>
      </w:r>
    </w:p>
    <w:p>
      <w:pPr>
        <w:pStyle w:val="Compact"/>
        <w:numPr>
          <w:numId w:val="1011"/>
          <w:ilvl w:val="0"/>
        </w:numPr>
      </w:pPr>
      <w:r>
        <w:t xml:space="preserve">郑大师生利用本平台创作之科研绘图作品，知识产权</w:t>
      </w:r>
      <w:r>
        <w:rPr>
          <w:b/>
        </w:rPr>
        <w:t xml:space="preserve">归创作者本人或其课题组所有</w:t>
      </w:r>
      <w:r>
        <w:t xml:space="preserve">；</w:t>
      </w:r>
    </w:p>
    <w:p>
      <w:pPr>
        <w:pStyle w:val="Compact"/>
        <w:numPr>
          <w:numId w:val="1011"/>
          <w:ilvl w:val="0"/>
        </w:numPr>
      </w:pPr>
      <w:r>
        <w:t xml:space="preserve">郑大基于本平台二次开发之定制模板、教学案例、培训资料，知识产权归郑大所有，SCIDraw 享有</w:t>
      </w:r>
      <w:r>
        <w:rPr>
          <w:b/>
        </w:rPr>
        <w:t xml:space="preserve">免费用于内部改进之参考权</w:t>
      </w:r>
      <w:r>
        <w:t xml:space="preserve">。</w:t>
      </w:r>
    </w:p>
    <w:p>
      <w:pPr>
        <w:pStyle w:val="Heading3"/>
      </w:pPr>
      <w:bookmarkStart w:id="46" w:name="第十条数据治理"/>
      <w:r>
        <w:t xml:space="preserve">第十条　数据治理</w:t>
      </w:r>
      <w:bookmarkEnd w:id="46"/>
    </w:p>
    <w:p>
      <w:pPr>
        <w:pStyle w:val="Compact"/>
        <w:numPr>
          <w:numId w:val="1012"/>
          <w:ilvl w:val="0"/>
        </w:numPr>
      </w:pPr>
      <w:r>
        <w:rPr>
          <w:b/>
        </w:rPr>
        <w:t xml:space="preserve">数据所有权</w:t>
      </w:r>
      <w:r>
        <w:t xml:space="preserve">：郑大师生在平台内产生的全部数据（含账号信息、绘图作品、上传素材、协作记录）</w:t>
      </w:r>
      <w:r>
        <w:rPr>
          <w:b/>
        </w:rPr>
        <w:t xml:space="preserve">所有权归郑大</w:t>
      </w:r>
      <w:r>
        <w:t xml:space="preserve">；</w:t>
      </w:r>
    </w:p>
    <w:p>
      <w:pPr>
        <w:pStyle w:val="Compact"/>
        <w:numPr>
          <w:numId w:val="1012"/>
          <w:ilvl w:val="0"/>
        </w:numPr>
      </w:pPr>
      <w:r>
        <w:rPr>
          <w:b/>
        </w:rPr>
        <w:t xml:space="preserve">数据存储</w:t>
      </w:r>
      <w:r>
        <w:t xml:space="preserve">：全部数据物理存储于郑大校内服务器或郑大指定云资源，SCIDraw 不在自身基础设施留存任何业务数据副本；</w:t>
      </w:r>
    </w:p>
    <w:p>
      <w:pPr>
        <w:pStyle w:val="Compact"/>
        <w:numPr>
          <w:numId w:val="1012"/>
          <w:ilvl w:val="0"/>
        </w:numPr>
      </w:pPr>
      <w:r>
        <w:rPr>
          <w:b/>
        </w:rPr>
        <w:t xml:space="preserve">数据出境与共享</w:t>
      </w:r>
      <w:r>
        <w:t xml:space="preserve">：SCIDraw 不主动获取任何业务数据；远程运维过程中接触到的数据严格遵守郑大保密要求，运维结束后立即清除缓存；</w:t>
      </w:r>
    </w:p>
    <w:p>
      <w:pPr>
        <w:pStyle w:val="Compact"/>
        <w:numPr>
          <w:numId w:val="1012"/>
          <w:ilvl w:val="0"/>
        </w:numPr>
      </w:pPr>
      <w:r>
        <w:rPr>
          <w:b/>
        </w:rPr>
        <w:t xml:space="preserve">数据销毁</w:t>
      </w:r>
      <w:r>
        <w:t xml:space="preserve">：协议终止时，SCIDraw 配合郑大完成全部数据迁移或销毁，并出具书面销毁证明；</w:t>
      </w:r>
    </w:p>
    <w:p>
      <w:pPr>
        <w:pStyle w:val="Compact"/>
        <w:numPr>
          <w:numId w:val="1012"/>
          <w:ilvl w:val="0"/>
        </w:numPr>
      </w:pPr>
      <w:r>
        <w:rPr>
          <w:b/>
        </w:rPr>
        <w:t xml:space="preserve">合规要求</w:t>
      </w:r>
      <w:r>
        <w:t xml:space="preserve">：双方遵守《个人信息保护法》《数据安全法》《生成式人工智能服务管理暂行办法》等相关法律法规。</w:t>
      </w:r>
    </w:p>
    <w:p>
      <w:pPr>
        <w:pStyle w:val="Heading2"/>
      </w:pPr>
      <w:bookmarkStart w:id="47" w:name="第六章保密与合规"/>
      <w:r>
        <w:t xml:space="preserve">第六章　保密与合规</w:t>
      </w:r>
      <w:bookmarkEnd w:id="47"/>
    </w:p>
    <w:p>
      <w:pPr>
        <w:pStyle w:val="Heading3"/>
      </w:pPr>
      <w:bookmarkStart w:id="48" w:name="第十一条保密义务"/>
      <w:r>
        <w:t xml:space="preserve">第十一条　保密义务</w:t>
      </w:r>
      <w:bookmarkEnd w:id="48"/>
    </w:p>
    <w:p>
      <w:pPr>
        <w:pStyle w:val="Compact"/>
        <w:numPr>
          <w:numId w:val="1013"/>
          <w:ilvl w:val="0"/>
        </w:numPr>
      </w:pPr>
      <w:r>
        <w:t xml:space="preserve">双方对在合作过程中获知的对方商业秘密、技术秘密、未公开之教学科研资料、师生个人信息，承担保密义务；</w:t>
      </w:r>
    </w:p>
    <w:p>
      <w:pPr>
        <w:pStyle w:val="Compact"/>
        <w:numPr>
          <w:numId w:val="1013"/>
          <w:ilvl w:val="0"/>
        </w:numPr>
      </w:pPr>
      <w:r>
        <w:t xml:space="preserve">保密期限自协议签署之日起至协议终止后 5 年；</w:t>
      </w:r>
    </w:p>
    <w:p>
      <w:pPr>
        <w:pStyle w:val="Compact"/>
        <w:numPr>
          <w:numId w:val="1013"/>
          <w:ilvl w:val="0"/>
        </w:numPr>
      </w:pPr>
      <w:r>
        <w:t xml:space="preserve">本协议本身及合作具体条款属保密信息，未经对方书面同意，不得向第三方披露（向各自法律、财务顾问披露的除外）。</w:t>
      </w:r>
    </w:p>
    <w:p>
      <w:pPr>
        <w:pStyle w:val="Heading3"/>
      </w:pPr>
      <w:bookmarkStart w:id="49" w:name="第十二条学术诚信与合规使用"/>
      <w:r>
        <w:t xml:space="preserve">第十二条　学术诚信与合规使用</w:t>
      </w:r>
      <w:bookmarkEnd w:id="49"/>
    </w:p>
    <w:p>
      <w:pPr>
        <w:pStyle w:val="Compact"/>
        <w:numPr>
          <w:numId w:val="1014"/>
          <w:ilvl w:val="0"/>
        </w:numPr>
      </w:pPr>
      <w:r>
        <w:t xml:space="preserve">双方共同倡导学术诚信，禁止利用本平台伪造、篡改实验图像或科研数据；</w:t>
      </w:r>
    </w:p>
    <w:p>
      <w:pPr>
        <w:pStyle w:val="Compact"/>
        <w:numPr>
          <w:numId w:val="1014"/>
          <w:ilvl w:val="0"/>
        </w:numPr>
      </w:pPr>
      <w:r>
        <w:t xml:space="preserve">SCIDraw 在平台内嵌入</w:t>
      </w:r>
      <w:r>
        <w:rPr>
          <w:b/>
        </w:rPr>
        <w:t xml:space="preserve">学术规范提示与防篡改导出水印</w:t>
      </w:r>
      <w:r>
        <w:t xml:space="preserve">功能，配合郑大学术诚信体系建设；</w:t>
      </w:r>
    </w:p>
    <w:p>
      <w:pPr>
        <w:pStyle w:val="Compact"/>
        <w:numPr>
          <w:numId w:val="1014"/>
          <w:ilvl w:val="0"/>
        </w:numPr>
      </w:pPr>
      <w:r>
        <w:t xml:space="preserve">对违反学术诚信的使用行为，郑大有权依校规校纪处置，SCIDraw 予以配合。</w:t>
      </w:r>
    </w:p>
    <w:p>
      <w:pPr>
        <w:pStyle w:val="Heading2"/>
      </w:pPr>
      <w:bookmarkStart w:id="50" w:name="第七章河南省高校科研绘图联盟"/>
      <w:r>
        <w:t xml:space="preserve">第七章　河南省高校科研绘图联盟</w:t>
      </w:r>
      <w:bookmarkEnd w:id="50"/>
    </w:p>
    <w:p>
      <w:pPr>
        <w:pStyle w:val="Heading3"/>
      </w:pPr>
      <w:bookmarkStart w:id="51" w:name="第十三条联盟发起"/>
      <w:r>
        <w:t xml:space="preserve">第十三条　联盟发起</w:t>
      </w:r>
      <w:bookmarkEnd w:id="51"/>
    </w:p>
    <w:p>
      <w:pPr>
        <w:pStyle w:val="FirstParagraph"/>
      </w:pPr>
      <w:r>
        <w:t xml:space="preserve">双方一致同意，以本协议项下合作成果为基础，在合适时机联合发起</w:t>
      </w:r>
      <w:r>
        <w:rPr>
          <w:b/>
        </w:rPr>
        <w:t xml:space="preserve">"河南省高校科研绘图联盟"</w:t>
      </w:r>
      <w:r>
        <w:t xml:space="preserve">（以下简称"联盟"），由郑州大学担任首任理事长单位，SCIDraw 担任秘书长单位与技术依托单位。</w:t>
      </w:r>
    </w:p>
    <w:p>
      <w:pPr>
        <w:pStyle w:val="Heading3"/>
      </w:pPr>
      <w:bookmarkStart w:id="52" w:name="第十四条联盟宗旨"/>
      <w:r>
        <w:t xml:space="preserve">第十四条　联盟宗旨</w:t>
      </w:r>
      <w:bookmarkEnd w:id="52"/>
    </w:p>
    <w:p>
      <w:pPr>
        <w:pStyle w:val="Compact"/>
        <w:numPr>
          <w:numId w:val="1015"/>
          <w:ilvl w:val="0"/>
        </w:numPr>
      </w:pPr>
      <w:r>
        <w:t xml:space="preserve">搭建河南全省高校科研绘图能力共享与交流平台；</w:t>
      </w:r>
    </w:p>
    <w:p>
      <w:pPr>
        <w:pStyle w:val="Compact"/>
        <w:numPr>
          <w:numId w:val="1015"/>
          <w:ilvl w:val="0"/>
        </w:numPr>
      </w:pPr>
      <w:r>
        <w:t xml:space="preserve">组织全省性科研绘图培训、竞赛、优秀作品评选；</w:t>
      </w:r>
    </w:p>
    <w:p>
      <w:pPr>
        <w:pStyle w:val="Compact"/>
        <w:numPr>
          <w:numId w:val="1015"/>
          <w:ilvl w:val="0"/>
        </w:numPr>
      </w:pPr>
      <w:r>
        <w:t xml:space="preserve">推动科研绘图相关教学规范与学术诚信标准建设；</w:t>
      </w:r>
    </w:p>
    <w:p>
      <w:pPr>
        <w:pStyle w:val="Compact"/>
        <w:numPr>
          <w:numId w:val="1015"/>
          <w:ilvl w:val="0"/>
        </w:numPr>
      </w:pPr>
      <w:r>
        <w:t xml:space="preserve">整合全省需求，降低单个高校重复采购与建设成本；</w:t>
      </w:r>
    </w:p>
    <w:p>
      <w:pPr>
        <w:pStyle w:val="Compact"/>
        <w:numPr>
          <w:numId w:val="1015"/>
          <w:ilvl w:val="0"/>
        </w:numPr>
      </w:pPr>
      <w:r>
        <w:t xml:space="preserve">择机向中西部兄弟省份辐射，形成可复制可推广的"河南样板"。</w:t>
      </w:r>
    </w:p>
    <w:p>
      <w:pPr>
        <w:pStyle w:val="Heading3"/>
      </w:pPr>
      <w:bookmarkStart w:id="53" w:name="第十五条联盟运营"/>
      <w:r>
        <w:t xml:space="preserve">第十五条　联盟运营</w:t>
      </w:r>
      <w:bookmarkEnd w:id="53"/>
    </w:p>
    <w:p>
      <w:pPr>
        <w:pStyle w:val="Compact"/>
        <w:numPr>
          <w:numId w:val="1016"/>
          <w:ilvl w:val="0"/>
        </w:numPr>
      </w:pPr>
      <w:r>
        <w:t xml:space="preserve">联盟秘书处常设郑州大学；</w:t>
      </w:r>
    </w:p>
    <w:p>
      <w:pPr>
        <w:pStyle w:val="Compact"/>
        <w:numPr>
          <w:numId w:val="1016"/>
          <w:ilvl w:val="0"/>
        </w:numPr>
      </w:pPr>
      <w:r>
        <w:t xml:space="preserve">联盟成员高校接入本平台之商务条款，由联盟秘书处与 SCIDraw 另行签订《联盟成员集体授权协议》，</w:t>
      </w:r>
      <w:r>
        <w:rPr>
          <w:b/>
        </w:rPr>
        <w:t xml:space="preserve">联盟成员高校享有优于市场价的集体授权优惠</w:t>
      </w:r>
      <w:r>
        <w:t xml:space="preserve">；</w:t>
      </w:r>
    </w:p>
    <w:p>
      <w:pPr>
        <w:pStyle w:val="Compact"/>
        <w:numPr>
          <w:numId w:val="1016"/>
          <w:ilvl w:val="0"/>
        </w:numPr>
      </w:pPr>
      <w:r>
        <w:t xml:space="preserve">联盟年度大会由理事长单位轮流承办，首届由郑大主办。</w:t>
      </w:r>
    </w:p>
    <w:p>
      <w:pPr>
        <w:pStyle w:val="Heading2"/>
      </w:pPr>
      <w:bookmarkStart w:id="54" w:name="第八章协议生效变更与终止"/>
      <w:r>
        <w:t xml:space="preserve">第八章　协议生效、变更与终止</w:t>
      </w:r>
      <w:bookmarkEnd w:id="54"/>
    </w:p>
    <w:p>
      <w:pPr>
        <w:pStyle w:val="Heading3"/>
      </w:pPr>
      <w:bookmarkStart w:id="55" w:name="第十六条协议生效"/>
      <w:r>
        <w:t xml:space="preserve">第十六条　协议生效</w:t>
      </w:r>
      <w:bookmarkEnd w:id="55"/>
    </w:p>
    <w:p>
      <w:pPr>
        <w:pStyle w:val="FirstParagraph"/>
      </w:pPr>
      <w:r>
        <w:t xml:space="preserve">本协议自双方法定代表人或授权代表签字并加盖单位公章之日起生效，有效期</w:t>
      </w:r>
      <w:r>
        <w:t xml:space="preserve"> </w:t>
      </w:r>
      <w:r>
        <w:rPr>
          <w:b/>
        </w:rPr>
        <w:t xml:space="preserve">3 年</w:t>
      </w:r>
      <w:r>
        <w:t xml:space="preserve">。期满前 60 日内，双方如无书面异议，自动续展 3 年。</w:t>
      </w:r>
    </w:p>
    <w:p>
      <w:pPr>
        <w:pStyle w:val="Heading3"/>
      </w:pPr>
      <w:bookmarkStart w:id="56" w:name="第十七条协议变更"/>
      <w:r>
        <w:t xml:space="preserve">第十七条　协议变更</w:t>
      </w:r>
      <w:bookmarkEnd w:id="56"/>
    </w:p>
    <w:p>
      <w:pPr>
        <w:pStyle w:val="FirstParagraph"/>
      </w:pPr>
      <w:r>
        <w:t xml:space="preserve">本协议之任何变更、补充均须经双方书面协商一致，签订书面补充协议，与本协议具有同等法律效力。</w:t>
      </w:r>
    </w:p>
    <w:p>
      <w:pPr>
        <w:pStyle w:val="Heading3"/>
      </w:pPr>
      <w:bookmarkStart w:id="57" w:name="第十八条协议终止"/>
      <w:r>
        <w:t xml:space="preserve">第十八条　协议终止</w:t>
      </w:r>
      <w:bookmarkEnd w:id="57"/>
    </w:p>
    <w:p>
      <w:pPr>
        <w:pStyle w:val="Compact"/>
        <w:numPr>
          <w:numId w:val="1017"/>
          <w:ilvl w:val="0"/>
        </w:numPr>
      </w:pPr>
      <w:r>
        <w:t xml:space="preserve">双方协商一致，可书面终止本协议；</w:t>
      </w:r>
    </w:p>
    <w:p>
      <w:pPr>
        <w:pStyle w:val="Compact"/>
        <w:numPr>
          <w:numId w:val="1017"/>
          <w:ilvl w:val="0"/>
        </w:numPr>
      </w:pPr>
      <w:r>
        <w:t xml:space="preserve">一方严重违约且在收到守约方书面通知后 30 日内未予纠正的，守约方有权单方终止；</w:t>
      </w:r>
    </w:p>
    <w:p>
      <w:pPr>
        <w:pStyle w:val="Compact"/>
        <w:numPr>
          <w:numId w:val="1017"/>
          <w:ilvl w:val="0"/>
        </w:numPr>
      </w:pPr>
      <w:r>
        <w:t xml:space="preserve">因不可抗力致使协议无法履行持续 90 日以上的，任何一方可书面通知终止；</w:t>
      </w:r>
    </w:p>
    <w:p>
      <w:pPr>
        <w:pStyle w:val="Compact"/>
        <w:numPr>
          <w:numId w:val="1017"/>
          <w:ilvl w:val="0"/>
        </w:numPr>
      </w:pPr>
      <w:r>
        <w:t xml:space="preserve">终止后双方配合完成数据迁移、销毁与费用清算。</w:t>
      </w:r>
    </w:p>
    <w:p>
      <w:pPr>
        <w:pStyle w:val="Heading3"/>
      </w:pPr>
      <w:bookmarkStart w:id="58" w:name="第十九条争议解决"/>
      <w:r>
        <w:t xml:space="preserve">第十九条　争议解决</w:t>
      </w:r>
      <w:bookmarkEnd w:id="58"/>
    </w:p>
    <w:p>
      <w:pPr>
        <w:pStyle w:val="FirstParagraph"/>
      </w:pPr>
      <w:r>
        <w:t xml:space="preserve">本协议履行过程中发生之争议，双方应友好协商解决；协商不成的，任何一方可向</w:t>
      </w:r>
      <w:r>
        <w:rPr>
          <w:b/>
        </w:rPr>
        <w:t xml:space="preserve">郑州市</w:t>
      </w:r>
      <w:r>
        <w:t xml:space="preserve">有管辖权的人民法院提起诉讼。</w:t>
      </w:r>
    </w:p>
    <w:p>
      <w:pPr>
        <w:pStyle w:val="Heading2"/>
      </w:pPr>
      <w:bookmarkStart w:id="59" w:name="第九章附则"/>
      <w:r>
        <w:t xml:space="preserve">第九章　附　则</w:t>
      </w:r>
      <w:bookmarkEnd w:id="59"/>
    </w:p>
    <w:p>
      <w:pPr>
        <w:pStyle w:val="Heading3"/>
      </w:pPr>
      <w:bookmarkStart w:id="60" w:name="第二十条框架性质"/>
      <w:r>
        <w:t xml:space="preserve">第二十条　框架性质</w:t>
      </w:r>
      <w:bookmarkEnd w:id="60"/>
    </w:p>
    <w:p>
      <w:pPr>
        <w:pStyle w:val="FirstParagraph"/>
      </w:pPr>
      <w:r>
        <w:t xml:space="preserve">本协议为战略合作框架协议，具体商务条款、技术细则、交付时间表以双方另行签订的《商务条款确认书》《技术实施协议》《运维服务协议》等单项文件为准；单项文件与本协议不一致的，以单项文件为准。</w:t>
      </w:r>
    </w:p>
    <w:p>
      <w:pPr>
        <w:pStyle w:val="Heading3"/>
      </w:pPr>
      <w:bookmarkStart w:id="61" w:name="第二十一条文本与份数"/>
      <w:r>
        <w:t xml:space="preserve">第二十一条　文本与份数</w:t>
      </w:r>
      <w:bookmarkEnd w:id="61"/>
    </w:p>
    <w:p>
      <w:pPr>
        <w:pStyle w:val="FirstParagraph"/>
      </w:pPr>
      <w:r>
        <w:t xml:space="preserve">本协议一式</w:t>
      </w:r>
      <w:r>
        <w:t xml:space="preserve"> </w:t>
      </w:r>
      <w:r>
        <w:rPr>
          <w:b/>
        </w:rPr>
        <w:t xml:space="preserve">肆</w:t>
      </w:r>
      <w:r>
        <w:t xml:space="preserve"> </w:t>
      </w:r>
      <w:r>
        <w:t xml:space="preserve">份，双方各执</w:t>
      </w:r>
      <w:r>
        <w:t xml:space="preserve"> </w:t>
      </w:r>
      <w:r>
        <w:rPr>
          <w:b/>
        </w:rPr>
        <w:t xml:space="preserve">贰</w:t>
      </w:r>
      <w:r>
        <w:t xml:space="preserve"> </w:t>
      </w:r>
      <w:r>
        <w:t xml:space="preserve">份，具有同等法律效力。</w:t>
      </w:r>
    </w:p>
    <w:p>
      <w:pPr>
        <w:pStyle w:val="Heading3"/>
      </w:pPr>
      <w:bookmarkStart w:id="62" w:name="第二十二条其他"/>
      <w:r>
        <w:t xml:space="preserve">第二十二条　其他</w:t>
      </w:r>
      <w:bookmarkEnd w:id="62"/>
    </w:p>
    <w:p>
      <w:pPr>
        <w:pStyle w:val="Compact"/>
        <w:numPr>
          <w:numId w:val="1018"/>
          <w:ilvl w:val="0"/>
        </w:numPr>
      </w:pPr>
      <w:r>
        <w:t xml:space="preserve">本协议标题仅为方便阅读，不影响条款解释；</w:t>
      </w:r>
    </w:p>
    <w:p>
      <w:pPr>
        <w:pStyle w:val="Compact"/>
        <w:numPr>
          <w:numId w:val="1018"/>
          <w:ilvl w:val="0"/>
        </w:numPr>
      </w:pPr>
      <w:r>
        <w:t xml:space="preserve">本协议任何条款被认定无效的，不影响其他条款效力；</w:t>
      </w:r>
    </w:p>
    <w:p>
      <w:pPr>
        <w:pStyle w:val="Compact"/>
        <w:numPr>
          <w:numId w:val="1018"/>
          <w:ilvl w:val="0"/>
        </w:numPr>
      </w:pPr>
      <w:r>
        <w:t xml:space="preserve">本协议未约定事项，双方另行协商签订补充协议。</w:t>
      </w:r>
    </w:p>
    <w:p>
      <w:pPr>
        <w:pStyle w:val="Compact"/>
      </w:pPr>
      <w:r>
        <w:t xml:space="preserve">甲方：郑州大学</w:t>
      </w:r>
    </w:p>
    <w:p>
      <w:pPr>
        <w:pStyle w:val="Compact"/>
      </w:pPr>
      <w:r>
        <w:t xml:space="preserve">法定代表人 / 授权代表（签字）</w:t>
      </w:r>
    </w:p>
    <w:p>
      <w:pPr>
        <w:pStyle w:val="Compact"/>
      </w:pPr>
      <w:r>
        <w:t xml:space="preserve">职务</w:t>
      </w:r>
    </w:p>
    <w:p>
      <w:pPr>
        <w:pStyle w:val="Compact"/>
      </w:pPr>
      <w:r>
        <w:t xml:space="preserve">日期：2026 年　　月　　日</w:t>
      </w:r>
    </w:p>
    <w:p>
      <w:pPr>
        <w:pStyle w:val="Compact"/>
      </w:pPr>
      <w:r>
        <w:t xml:space="preserve">（加盖单位公章）</w:t>
      </w:r>
    </w:p>
    <w:p>
      <w:pPr>
        <w:pStyle w:val="Compact"/>
      </w:pPr>
      <w:r>
        <w:t xml:space="preserve">乙方：郑州聚米生物科技有限公司</w:t>
      </w:r>
    </w:p>
    <w:p>
      <w:pPr>
        <w:pStyle w:val="Compact"/>
      </w:pPr>
      <w:r>
        <w:t xml:space="preserve">（旗下品牌 "SCIDraw"）</w:t>
      </w:r>
    </w:p>
    <w:p>
      <w:pPr>
        <w:pStyle w:val="Compact"/>
      </w:pPr>
      <w:r>
        <w:t xml:space="preserve">法定代表人 / 授权代表（签字）</w:t>
      </w:r>
    </w:p>
    <w:p>
      <w:pPr>
        <w:pStyle w:val="Compact"/>
      </w:pPr>
      <w:r>
        <w:t xml:space="preserve">职务</w:t>
      </w:r>
    </w:p>
    <w:p>
      <w:pPr>
        <w:pStyle w:val="Compact"/>
      </w:pPr>
      <w:r>
        <w:t xml:space="preserve">日期：2026 年　　月　　日</w:t>
      </w:r>
    </w:p>
    <w:p>
      <w:pPr>
        <w:pStyle w:val="Compact"/>
      </w:pPr>
      <w:r>
        <w:t xml:space="preserve">（加盖单位公章）</w:t>
      </w:r>
    </w:p>
    <w:p>
      <w:pPr>
        <w:pStyle w:val="Compact"/>
      </w:pPr>
      <w:r>
        <w:t xml:space="preserve">本文档为 SCIDraw-ZZU-S1-2026 讨论稿　·　仅供双方内部讨论使用　·　未签署前不构成法律约束</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170cd2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2ddac3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fe3b8811"/>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zh-CN"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郑州大学 × SCIDraw 战略合作框架协议（讨论稿）</dc:title>
  <dc:creator/>
  <cp:keywords/>
  <dcterms:created xsi:type="dcterms:W3CDTF">2026-07-07T07:34:56Z</dcterms:created>
  <dcterms:modified xsi:type="dcterms:W3CDTF">2026-07-07T07:34:56Z</dcterms:modified>
</cp:coreProperties>
</file>